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ADE" w:rsidRPr="00A2113B" w:rsidRDefault="00586ADE" w:rsidP="00586ADE">
      <w:pPr>
        <w:spacing w:line="600" w:lineRule="exact"/>
        <w:jc w:val="left"/>
        <w:rPr>
          <w:rFonts w:ascii="方正黑体_GBK" w:eastAsia="方正黑体_GBK"/>
          <w:sz w:val="32"/>
          <w:szCs w:val="32"/>
        </w:rPr>
      </w:pPr>
      <w:r w:rsidRPr="00A2113B">
        <w:rPr>
          <w:rFonts w:ascii="方正黑体_GBK" w:eastAsia="方正黑体_GBK" w:hint="eastAsia"/>
          <w:sz w:val="32"/>
          <w:szCs w:val="32"/>
        </w:rPr>
        <w:t>附件4</w:t>
      </w:r>
    </w:p>
    <w:p w:rsidR="00586ADE" w:rsidRDefault="00586ADE" w:rsidP="00586ADE">
      <w:pPr>
        <w:spacing w:line="600" w:lineRule="exact"/>
        <w:jc w:val="center"/>
        <w:rPr>
          <w:rFonts w:ascii="方正仿宋_GBK" w:eastAsia="方正仿宋_GBK"/>
          <w:sz w:val="32"/>
          <w:szCs w:val="32"/>
        </w:rPr>
      </w:pPr>
      <w:r>
        <w:rPr>
          <w:rFonts w:ascii="方正仿宋_GBK" w:eastAsia="方正仿宋_GBK" w:hint="eastAsia"/>
          <w:sz w:val="32"/>
          <w:szCs w:val="32"/>
        </w:rPr>
        <w:t>生活垃圾分类重点行业分类定级标准（商业综合体）</w:t>
      </w:r>
    </w:p>
    <w:tbl>
      <w:tblPr>
        <w:tblW w:w="10714"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134"/>
        <w:gridCol w:w="3483"/>
        <w:gridCol w:w="1276"/>
        <w:gridCol w:w="2977"/>
        <w:gridCol w:w="743"/>
      </w:tblGrid>
      <w:tr w:rsidR="00586ADE" w:rsidRPr="00894696" w:rsidTr="002B225B">
        <w:tc>
          <w:tcPr>
            <w:tcW w:w="1101" w:type="dxa"/>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评价项目</w:t>
            </w:r>
          </w:p>
        </w:tc>
        <w:tc>
          <w:tcPr>
            <w:tcW w:w="1134" w:type="dxa"/>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评价指标</w:t>
            </w:r>
          </w:p>
        </w:tc>
        <w:tc>
          <w:tcPr>
            <w:tcW w:w="3483" w:type="dxa"/>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项目内容</w:t>
            </w:r>
          </w:p>
        </w:tc>
        <w:tc>
          <w:tcPr>
            <w:tcW w:w="1276" w:type="dxa"/>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评价方法</w:t>
            </w:r>
          </w:p>
        </w:tc>
        <w:tc>
          <w:tcPr>
            <w:tcW w:w="2977" w:type="dxa"/>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评分规则</w:t>
            </w:r>
          </w:p>
        </w:tc>
        <w:tc>
          <w:tcPr>
            <w:tcW w:w="743" w:type="dxa"/>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评分</w:t>
            </w:r>
          </w:p>
        </w:tc>
      </w:tr>
      <w:tr w:rsidR="00586ADE" w:rsidRPr="00894696" w:rsidTr="002B225B">
        <w:trPr>
          <w:trHeight w:val="645"/>
        </w:trPr>
        <w:tc>
          <w:tcPr>
            <w:tcW w:w="1101" w:type="dxa"/>
            <w:vMerge w:val="restart"/>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组织管理（20分）</w:t>
            </w:r>
          </w:p>
        </w:tc>
        <w:tc>
          <w:tcPr>
            <w:tcW w:w="1134" w:type="dxa"/>
            <w:vMerge w:val="restart"/>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工作机制（16分）</w:t>
            </w: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将垃圾分类工作纳入单位党建工作，党员带头实施垃圾分类（2分）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有得2分，否不得分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rPr>
          <w:trHeight w:val="900"/>
        </w:trPr>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是否明确本单位生活垃圾分类管理部门和管理人员，公示管理责任网络图（2分）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有得2分，否不得分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rPr>
          <w:trHeight w:val="660"/>
        </w:trPr>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是否出台了本单位的生活垃圾分类实施方案（2分）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有得2分，否不得分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rPr>
          <w:trHeight w:val="945"/>
        </w:trPr>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是否制定源头减量措施（如：积极推进无纸化办公；杜绝使用一次性用品；提倡光盘行动等）（5分）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有得5分，否不得分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rPr>
          <w:trHeight w:val="240"/>
        </w:trPr>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vMerge w:val="restart"/>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是否按照实施方案在本单位开展了专项检查工作，对存在的问题进行整改并记录（5分）</w:t>
            </w:r>
          </w:p>
        </w:tc>
        <w:tc>
          <w:tcPr>
            <w:tcW w:w="1276" w:type="dxa"/>
            <w:vMerge w:val="restart"/>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有得1分，否不得分</w:t>
            </w:r>
          </w:p>
        </w:tc>
        <w:tc>
          <w:tcPr>
            <w:tcW w:w="743" w:type="dxa"/>
            <w:vMerge w:val="restart"/>
          </w:tcPr>
          <w:p w:rsidR="00586ADE" w:rsidRPr="00894696" w:rsidRDefault="00586ADE" w:rsidP="002B225B">
            <w:pPr>
              <w:spacing w:line="300" w:lineRule="exact"/>
              <w:rPr>
                <w:rFonts w:ascii="方正仿宋_GBK" w:eastAsia="方正仿宋_GBK"/>
                <w:szCs w:val="21"/>
              </w:rPr>
            </w:pPr>
          </w:p>
        </w:tc>
      </w:tr>
      <w:tr w:rsidR="00586ADE" w:rsidRPr="00894696" w:rsidTr="002B225B">
        <w:trPr>
          <w:trHeight w:val="540"/>
        </w:trPr>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vMerge/>
          </w:tcPr>
          <w:p w:rsidR="00586ADE" w:rsidRPr="00894696" w:rsidRDefault="00586ADE" w:rsidP="002B225B">
            <w:pPr>
              <w:spacing w:line="300" w:lineRule="exact"/>
              <w:rPr>
                <w:rFonts w:ascii="方正仿宋_GBK" w:eastAsia="方正仿宋_GBK"/>
                <w:szCs w:val="21"/>
              </w:rPr>
            </w:pPr>
          </w:p>
        </w:tc>
        <w:tc>
          <w:tcPr>
            <w:tcW w:w="1276" w:type="dxa"/>
            <w:vMerge/>
            <w:vAlign w:val="center"/>
          </w:tcPr>
          <w:p w:rsidR="00586ADE" w:rsidRPr="00894696" w:rsidRDefault="00586ADE" w:rsidP="002B225B">
            <w:pPr>
              <w:spacing w:line="300" w:lineRule="exact"/>
              <w:rPr>
                <w:rFonts w:ascii="方正仿宋_GBK" w:eastAsia="方正仿宋_GBK"/>
                <w:szCs w:val="21"/>
              </w:rPr>
            </w:pP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每季度开展一次，每次得1分</w:t>
            </w:r>
          </w:p>
        </w:tc>
        <w:tc>
          <w:tcPr>
            <w:tcW w:w="743" w:type="dxa"/>
            <w:vMerge/>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人员配备（4分）</w:t>
            </w: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垃圾分类工作有专人负责，有至少1名宣传员或志愿者，制定兜底措施，开展二次分拣（4分）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有1人得1分，最高2分；</w:t>
            </w:r>
          </w:p>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组织二次分拣得2分；未开展的，不得分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rPr>
          <w:trHeight w:val="630"/>
        </w:trPr>
        <w:tc>
          <w:tcPr>
            <w:tcW w:w="1101" w:type="dxa"/>
            <w:vMerge w:val="restart"/>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宣传教育（15分）</w:t>
            </w:r>
          </w:p>
        </w:tc>
        <w:tc>
          <w:tcPr>
            <w:tcW w:w="1134" w:type="dxa"/>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宣传引导（10分）</w:t>
            </w: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在公共区域、出入口、办公区域等开展生活垃圾分类知识宣传。在出入口、收集点等显著位置至少设置1处垃圾分类宣传栏，用于介绍垃圾分类知识，公示垃圾分类运行管理信息，包括垃圾分类基本情况、分类种类、分类投放点布局图，内容清晰，无张贴、无破损（10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现场查看</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无宣传阵地的，本项不得分；宣传公示内容每缺一项扣1分；宣传公示残缺、污损、有乱张贴，扣2分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rPr>
          <w:trHeight w:val="390"/>
        </w:trPr>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restart"/>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教育培训（5分）</w:t>
            </w:r>
          </w:p>
        </w:tc>
        <w:tc>
          <w:tcPr>
            <w:tcW w:w="3483" w:type="dxa"/>
            <w:vMerge w:val="restart"/>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定期对本单位人员和全体入驻单位人员进行垃圾分类知识培训（5分）</w:t>
            </w:r>
          </w:p>
        </w:tc>
        <w:tc>
          <w:tcPr>
            <w:tcW w:w="1276" w:type="dxa"/>
            <w:vMerge w:val="restart"/>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有得1分，否不得分</w:t>
            </w:r>
          </w:p>
        </w:tc>
        <w:tc>
          <w:tcPr>
            <w:tcW w:w="743" w:type="dxa"/>
            <w:vMerge w:val="restart"/>
          </w:tcPr>
          <w:p w:rsidR="00586ADE" w:rsidRPr="00894696" w:rsidRDefault="00586ADE" w:rsidP="002B225B">
            <w:pPr>
              <w:spacing w:line="300" w:lineRule="exact"/>
              <w:rPr>
                <w:rFonts w:ascii="方正仿宋_GBK" w:eastAsia="方正仿宋_GBK"/>
                <w:szCs w:val="21"/>
              </w:rPr>
            </w:pPr>
          </w:p>
        </w:tc>
      </w:tr>
      <w:tr w:rsidR="00586ADE" w:rsidRPr="00894696" w:rsidTr="002B225B">
        <w:trPr>
          <w:trHeight w:val="495"/>
        </w:trPr>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vMerge/>
          </w:tcPr>
          <w:p w:rsidR="00586ADE" w:rsidRPr="00894696" w:rsidRDefault="00586ADE" w:rsidP="002B225B">
            <w:pPr>
              <w:spacing w:line="300" w:lineRule="exact"/>
              <w:rPr>
                <w:rFonts w:ascii="方正仿宋_GBK" w:eastAsia="方正仿宋_GBK"/>
                <w:szCs w:val="21"/>
              </w:rPr>
            </w:pPr>
          </w:p>
        </w:tc>
        <w:tc>
          <w:tcPr>
            <w:tcW w:w="1276" w:type="dxa"/>
            <w:vMerge/>
            <w:vAlign w:val="center"/>
          </w:tcPr>
          <w:p w:rsidR="00586ADE" w:rsidRPr="00894696" w:rsidRDefault="00586ADE" w:rsidP="002B225B">
            <w:pPr>
              <w:spacing w:line="300" w:lineRule="exact"/>
              <w:rPr>
                <w:rFonts w:ascii="方正仿宋_GBK" w:eastAsia="方正仿宋_GBK"/>
                <w:szCs w:val="21"/>
              </w:rPr>
            </w:pP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每季度开展一次，得4分</w:t>
            </w:r>
          </w:p>
        </w:tc>
        <w:tc>
          <w:tcPr>
            <w:tcW w:w="743" w:type="dxa"/>
            <w:vMerge/>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restart"/>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设施设置（30分）</w:t>
            </w:r>
          </w:p>
        </w:tc>
        <w:tc>
          <w:tcPr>
            <w:tcW w:w="1134" w:type="dxa"/>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收集点设置（5分）</w:t>
            </w: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至少设置一外四分类垃圾分类集中收集点，并有规范性的标识标牌（5分）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现场查看</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未设置此项不得分；容器设置位置不合理扣1分，不能满足需求扣1分，无有害垃圾悼念容器扣2分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restart"/>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办公区域设施设置（5分）</w:t>
            </w: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在办公室或每层楼合理设置可回收物、其他垃圾两分类设施，并配有规范性的标识标牌（3分）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现场查看</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有得3分，否不得分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在每层楼合理设置餐厨垃圾分类设施，并配有规范性的标识标牌（2分）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现场查看</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有得2分，否不得分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restart"/>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公共区域设施设置（20分）</w:t>
            </w: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合理设置可回收物、其他垃圾两分类设施，并配有规范性的标识标牌（5分）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现场查看</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有得5分，否不得分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在餐饮店家、食堂、厨房等区域按照</w:t>
            </w:r>
            <w:r w:rsidRPr="00894696">
              <w:rPr>
                <w:rFonts w:ascii="方正仿宋_GBK" w:eastAsia="方正仿宋_GBK" w:hint="eastAsia"/>
                <w:szCs w:val="21"/>
              </w:rPr>
              <w:lastRenderedPageBreak/>
              <w:t>可回收物、其他垃圾、餐厨垃圾配置垃圾分类设施，并配有规范性的标识标牌（5分）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lastRenderedPageBreak/>
              <w:t>现场查看</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有得5分，否不得分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应配置油水分离装置（油水分离器或隔油池），产生的含油废水就通过油水分离装置进行分离收集，煎炸弃油应使用专用容器单独收集（5分）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现场查看</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有得5分，否不得分（无集中供餐或餐饮店家的，此项直接得分）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设置有餐厨垃圾处理设施（5分）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现场查看</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有得5分，否不得分（无集中供餐或餐饮店家的，此项直接得分）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restart"/>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运行维护（35分）</w:t>
            </w:r>
          </w:p>
        </w:tc>
        <w:tc>
          <w:tcPr>
            <w:tcW w:w="1134" w:type="dxa"/>
            <w:vMerge w:val="restart"/>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分类收运（20分）</w:t>
            </w: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有害垃圾分类收运（4分）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有害垃圾定期统一送到有害垃圾归集点的，得2分；有规范手续或台账记录的，得2分；无规范手续或台账记录不全的，视情况扣1-2分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可回收物分类收运（4分）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可回收物定期统一送到城市可回收物分拣中心或再生资源回收利用单位进行分拣再利用的，得2分；有规范手续或台账记录的，得2分；无规范手续或台账记录不齐全的，视情况扣1-2分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餐厨垃圾分类收运（8分）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餐厨垃圾按时统一送到餐厨垃圾转运/处置企业的，得6分；有规范手续或台账记录的，得2分；无规范手续或台账记录不齐全的，视情况扣1-2分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其他垃圾分类收运（4分）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查看相关资料</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由环卫部门统一收运的，得2分；有规范手续或台账记录的，得2分；无规范手续或台账记录不齐全的，视情况扣1-2分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设施管理（5分）</w:t>
            </w: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分类收集容器摆放整齐。收集容器外观干净整洁，无残缺、破损，密闭性良好，分类标识清晰（5分）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现场查看</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设施有一处不符合要求的，扣1分，最高扣5分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restart"/>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分类投放（10分）</w:t>
            </w: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提高投放准确率（6分）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现场查看</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随机选择一定数量垃圾容器，以投放准确的容器数量占抽检容器总数的百分比计分，满分6分，按比例得分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Merge/>
            <w:vAlign w:val="center"/>
          </w:tcPr>
          <w:p w:rsidR="00586ADE" w:rsidRPr="00894696" w:rsidRDefault="00586ADE" w:rsidP="002B225B">
            <w:pPr>
              <w:spacing w:line="300" w:lineRule="exact"/>
              <w:jc w:val="center"/>
              <w:rPr>
                <w:rFonts w:ascii="方正仿宋_GBK" w:eastAsia="方正仿宋_GBK"/>
                <w:szCs w:val="21"/>
              </w:rPr>
            </w:pPr>
          </w:p>
        </w:tc>
        <w:tc>
          <w:tcPr>
            <w:tcW w:w="1134" w:type="dxa"/>
            <w:vMerge/>
            <w:vAlign w:val="center"/>
          </w:tcPr>
          <w:p w:rsidR="00586ADE" w:rsidRPr="00894696" w:rsidRDefault="00586ADE" w:rsidP="002B225B">
            <w:pPr>
              <w:spacing w:line="300" w:lineRule="exact"/>
              <w:jc w:val="center"/>
              <w:rPr>
                <w:rFonts w:ascii="方正仿宋_GBK" w:eastAsia="方正仿宋_GBK"/>
                <w:szCs w:val="21"/>
              </w:rPr>
            </w:pPr>
          </w:p>
        </w:tc>
        <w:tc>
          <w:tcPr>
            <w:tcW w:w="3483" w:type="dxa"/>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禁止生活垃圾乱堆放现象（4分）</w:t>
            </w:r>
          </w:p>
        </w:tc>
        <w:tc>
          <w:tcPr>
            <w:tcW w:w="1276"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现场查看</w:t>
            </w:r>
          </w:p>
        </w:tc>
        <w:tc>
          <w:tcPr>
            <w:tcW w:w="2977" w:type="dxa"/>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发现有生活垃圾乱堆放现象，此项不得分</w:t>
            </w:r>
          </w:p>
        </w:tc>
        <w:tc>
          <w:tcPr>
            <w:tcW w:w="743" w:type="dxa"/>
          </w:tcPr>
          <w:p w:rsidR="00586ADE" w:rsidRPr="00894696" w:rsidRDefault="00586ADE" w:rsidP="002B225B">
            <w:pPr>
              <w:spacing w:line="300" w:lineRule="exact"/>
              <w:rPr>
                <w:rFonts w:ascii="方正仿宋_GBK" w:eastAsia="方正仿宋_GBK"/>
                <w:szCs w:val="21"/>
              </w:rPr>
            </w:pPr>
          </w:p>
        </w:tc>
      </w:tr>
      <w:tr w:rsidR="00586ADE" w:rsidRPr="00894696" w:rsidTr="002B225B">
        <w:tc>
          <w:tcPr>
            <w:tcW w:w="1101" w:type="dxa"/>
            <w:vAlign w:val="center"/>
          </w:tcPr>
          <w:p w:rsidR="00586ADE" w:rsidRPr="00894696" w:rsidRDefault="00586ADE" w:rsidP="002B225B">
            <w:pPr>
              <w:spacing w:line="300" w:lineRule="exact"/>
              <w:jc w:val="center"/>
              <w:rPr>
                <w:rFonts w:ascii="方正仿宋_GBK" w:eastAsia="方正仿宋_GBK"/>
                <w:szCs w:val="21"/>
              </w:rPr>
            </w:pPr>
            <w:r w:rsidRPr="00894696">
              <w:rPr>
                <w:rFonts w:ascii="方正仿宋_GBK" w:eastAsia="方正仿宋_GBK" w:hint="eastAsia"/>
                <w:szCs w:val="21"/>
              </w:rPr>
              <w:t>否决项</w:t>
            </w:r>
          </w:p>
        </w:tc>
        <w:tc>
          <w:tcPr>
            <w:tcW w:w="9613" w:type="dxa"/>
            <w:gridSpan w:val="5"/>
            <w:vAlign w:val="center"/>
          </w:tcPr>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1.本行业人员不配合，考评人员不能进入相关场所考核。</w:t>
            </w:r>
          </w:p>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2.检查过程中发现弄虚作假、未开展垃圾分类工作，餐厨垃圾混装收运。</w:t>
            </w:r>
          </w:p>
          <w:p w:rsidR="00586ADE" w:rsidRPr="00894696" w:rsidRDefault="00586ADE" w:rsidP="002B225B">
            <w:pPr>
              <w:spacing w:line="300" w:lineRule="exact"/>
              <w:rPr>
                <w:rFonts w:ascii="方正仿宋_GBK" w:eastAsia="方正仿宋_GBK"/>
                <w:szCs w:val="21"/>
              </w:rPr>
            </w:pPr>
            <w:r w:rsidRPr="00894696">
              <w:rPr>
                <w:rFonts w:ascii="方正仿宋_GBK" w:eastAsia="方正仿宋_GBK" w:hint="eastAsia"/>
                <w:szCs w:val="21"/>
              </w:rPr>
              <w:t>3.被环卫部门以垃圾未分类拒收或被城管部门处罚的。</w:t>
            </w:r>
          </w:p>
        </w:tc>
      </w:tr>
    </w:tbl>
    <w:p w:rsidR="00586ADE" w:rsidRDefault="00586ADE" w:rsidP="00586ADE">
      <w:pPr>
        <w:spacing w:line="100" w:lineRule="atLeast"/>
        <w:jc w:val="left"/>
        <w:rPr>
          <w:rFonts w:ascii="方正仿宋_GBK" w:eastAsia="方正仿宋_GBK" w:cs="方正小标宋_GBK"/>
          <w:color w:val="0C0C0C"/>
          <w:sz w:val="32"/>
          <w:szCs w:val="32"/>
        </w:rPr>
      </w:pPr>
    </w:p>
    <w:p w:rsidR="00586ADE" w:rsidRDefault="00586ADE" w:rsidP="00586ADE">
      <w:pPr>
        <w:spacing w:line="100" w:lineRule="atLeast"/>
        <w:jc w:val="left"/>
        <w:rPr>
          <w:rFonts w:ascii="Helvetica" w:hAnsi="Helvetica"/>
          <w:color w:val="000000"/>
          <w:sz w:val="27"/>
          <w:szCs w:val="27"/>
        </w:rPr>
      </w:pPr>
    </w:p>
    <w:sectPr w:rsidR="00586ADE" w:rsidSect="00B47DE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881" w:rsidRDefault="00930881" w:rsidP="00586ADE">
      <w:r>
        <w:separator/>
      </w:r>
    </w:p>
  </w:endnote>
  <w:endnote w:type="continuationSeparator" w:id="1">
    <w:p w:rsidR="00930881" w:rsidRDefault="00930881" w:rsidP="00586A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881" w:rsidRDefault="00930881" w:rsidP="00586ADE">
      <w:r>
        <w:separator/>
      </w:r>
    </w:p>
  </w:footnote>
  <w:footnote w:type="continuationSeparator" w:id="1">
    <w:p w:rsidR="00930881" w:rsidRDefault="00930881" w:rsidP="00586A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6ADE"/>
    <w:rsid w:val="00586ADE"/>
    <w:rsid w:val="009308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A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6A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6ADE"/>
    <w:rPr>
      <w:sz w:val="18"/>
      <w:szCs w:val="18"/>
    </w:rPr>
  </w:style>
  <w:style w:type="paragraph" w:styleId="a4">
    <w:name w:val="footer"/>
    <w:basedOn w:val="a"/>
    <w:link w:val="Char0"/>
    <w:uiPriority w:val="99"/>
    <w:semiHidden/>
    <w:unhideWhenUsed/>
    <w:rsid w:val="00586A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6A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2023-03-22T03:01:00Z</dcterms:created>
  <dcterms:modified xsi:type="dcterms:W3CDTF">2023-03-22T03:02:00Z</dcterms:modified>
</cp:coreProperties>
</file>