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C908E0" w:rsidP="00C908E0">
      <w:pPr>
        <w:ind w:rightChars="-100" w:right="-290"/>
      </w:pPr>
    </w:p>
    <w:p w:rsidR="00000000" w:rsidRDefault="00C908E0" w:rsidP="00C908E0">
      <w:pPr>
        <w:ind w:rightChars="-100" w:right="-290"/>
      </w:pPr>
    </w:p>
    <w:p w:rsidR="00000000" w:rsidRDefault="00C908E0" w:rsidP="00C908E0">
      <w:pPr>
        <w:ind w:rightChars="-100" w:right="-290"/>
      </w:pPr>
    </w:p>
    <w:p w:rsidR="00000000" w:rsidRDefault="00C908E0" w:rsidP="00C908E0">
      <w:pPr>
        <w:ind w:rightChars="-100" w:right="-290"/>
      </w:pPr>
    </w:p>
    <w:p w:rsidR="00000000" w:rsidRDefault="00C908E0" w:rsidP="00C908E0">
      <w:pPr>
        <w:ind w:rightChars="-100" w:right="-290"/>
      </w:pPr>
    </w:p>
    <w:p w:rsidR="00000000" w:rsidRDefault="00C908E0" w:rsidP="00C908E0">
      <w:pPr>
        <w:spacing w:line="500" w:lineRule="exact"/>
        <w:ind w:rightChars="-100" w:right="-290"/>
        <w:jc w:val="center"/>
        <w:rPr>
          <w:szCs w:val="30"/>
        </w:rPr>
      </w:pPr>
    </w:p>
    <w:p w:rsidR="00000000" w:rsidRDefault="00C908E0">
      <w:pPr>
        <w:jc w:val="center"/>
        <w:rPr>
          <w:rFonts w:eastAsia="方正仿宋_GBK"/>
          <w:sz w:val="32"/>
          <w:szCs w:val="32"/>
        </w:rPr>
      </w:pPr>
      <w:bookmarkStart w:id="0" w:name="fwdz"/>
      <w:r>
        <w:rPr>
          <w:rFonts w:eastAsia="方正仿宋_GBK"/>
          <w:sz w:val="32"/>
          <w:szCs w:val="32"/>
          <w:lang/>
        </w:rPr>
        <w:t>宁商法</w:t>
      </w:r>
      <w:bookmarkEnd w:id="0"/>
      <w:r>
        <w:rPr>
          <w:rFonts w:eastAsia="方正仿宋_GBK"/>
          <w:sz w:val="32"/>
          <w:szCs w:val="32"/>
        </w:rPr>
        <w:t>〔</w:t>
      </w:r>
      <w:bookmarkStart w:id="1" w:name="serialYear"/>
      <w:r>
        <w:rPr>
          <w:rFonts w:eastAsia="方正仿宋_GBK"/>
          <w:sz w:val="32"/>
          <w:szCs w:val="32"/>
          <w:lang/>
        </w:rPr>
        <w:t>2023</w:t>
      </w:r>
      <w:bookmarkEnd w:id="1"/>
      <w:r>
        <w:rPr>
          <w:rFonts w:eastAsia="方正仿宋_GBK"/>
          <w:sz w:val="32"/>
          <w:szCs w:val="32"/>
        </w:rPr>
        <w:t>〕</w:t>
      </w:r>
      <w:bookmarkStart w:id="2" w:name="serialNo"/>
      <w:r>
        <w:rPr>
          <w:rFonts w:eastAsia="方正仿宋_GBK"/>
          <w:sz w:val="32"/>
          <w:szCs w:val="32"/>
          <w:lang/>
        </w:rPr>
        <w:t>97</w:t>
      </w:r>
      <w:bookmarkEnd w:id="2"/>
      <w:r>
        <w:rPr>
          <w:rFonts w:eastAsia="方正仿宋_GBK"/>
          <w:sz w:val="32"/>
          <w:szCs w:val="32"/>
        </w:rPr>
        <w:t>号</w:t>
      </w:r>
    </w:p>
    <w:p w:rsidR="00000000" w:rsidRDefault="00C908E0">
      <w:pPr>
        <w:spacing w:line="640" w:lineRule="exact"/>
        <w:rPr>
          <w:rFonts w:eastAsia="仿宋"/>
          <w:sz w:val="32"/>
          <w:szCs w:val="32"/>
        </w:rPr>
      </w:pPr>
    </w:p>
    <w:p w:rsidR="00000000" w:rsidRDefault="00C908E0">
      <w:pPr>
        <w:spacing w:line="640" w:lineRule="exact"/>
        <w:rPr>
          <w:rFonts w:eastAsia="仿宋"/>
          <w:sz w:val="32"/>
          <w:szCs w:val="32"/>
        </w:rPr>
      </w:pPr>
    </w:p>
    <w:p w:rsidR="00000000" w:rsidRDefault="00C908E0">
      <w:pPr>
        <w:spacing w:line="560" w:lineRule="exact"/>
        <w:jc w:val="center"/>
        <w:rPr>
          <w:rFonts w:eastAsia="方正小标宋_GBK"/>
          <w:sz w:val="44"/>
          <w:szCs w:val="44"/>
        </w:rPr>
      </w:pPr>
      <w:r>
        <w:rPr>
          <w:rFonts w:eastAsia="方正小标宋_GBK"/>
          <w:sz w:val="44"/>
          <w:szCs w:val="44"/>
        </w:rPr>
        <w:t>关于印发《南京市商务局推进落实公平竞争</w:t>
      </w:r>
    </w:p>
    <w:p w:rsidR="00000000" w:rsidRDefault="00C908E0">
      <w:pPr>
        <w:spacing w:line="560" w:lineRule="exact"/>
        <w:jc w:val="center"/>
        <w:rPr>
          <w:rFonts w:eastAsia="方正小标宋_GBK"/>
          <w:sz w:val="44"/>
          <w:szCs w:val="44"/>
        </w:rPr>
      </w:pPr>
      <w:r>
        <w:rPr>
          <w:rFonts w:eastAsia="方正小标宋_GBK"/>
          <w:sz w:val="44"/>
          <w:szCs w:val="44"/>
        </w:rPr>
        <w:t>审查制度</w:t>
      </w:r>
      <w:r>
        <w:rPr>
          <w:rFonts w:eastAsia="方正小标宋_GBK"/>
          <w:sz w:val="44"/>
          <w:szCs w:val="44"/>
        </w:rPr>
        <w:t>2023</w:t>
      </w:r>
      <w:r>
        <w:rPr>
          <w:rFonts w:eastAsia="方正小标宋_GBK"/>
          <w:sz w:val="44"/>
          <w:szCs w:val="44"/>
        </w:rPr>
        <w:t>年专项工作要点》的通知</w:t>
      </w:r>
    </w:p>
    <w:p w:rsidR="00000000" w:rsidRDefault="00C908E0">
      <w:pPr>
        <w:spacing w:line="640" w:lineRule="exact"/>
        <w:rPr>
          <w:rFonts w:eastAsia="方正仿宋_GBK"/>
          <w:sz w:val="32"/>
          <w:szCs w:val="32"/>
        </w:rPr>
      </w:pPr>
    </w:p>
    <w:p w:rsidR="00000000" w:rsidRDefault="00C908E0">
      <w:pPr>
        <w:adjustRightInd w:val="0"/>
        <w:spacing w:line="500" w:lineRule="exact"/>
        <w:rPr>
          <w:rFonts w:eastAsia="方正仿宋_GBK"/>
          <w:sz w:val="32"/>
          <w:szCs w:val="32"/>
        </w:rPr>
      </w:pPr>
      <w:r>
        <w:rPr>
          <w:rFonts w:eastAsia="方正仿宋_GBK"/>
          <w:sz w:val="32"/>
          <w:szCs w:val="32"/>
        </w:rPr>
        <w:t>机关各处室：</w:t>
      </w:r>
    </w:p>
    <w:p w:rsidR="00000000" w:rsidRDefault="00C908E0" w:rsidP="00C908E0">
      <w:pPr>
        <w:adjustRightInd w:val="0"/>
        <w:spacing w:line="500" w:lineRule="exact"/>
        <w:ind w:firstLineChars="200" w:firstLine="621"/>
        <w:rPr>
          <w:rFonts w:eastAsia="方正仿宋_GBK"/>
          <w:sz w:val="32"/>
          <w:szCs w:val="32"/>
        </w:rPr>
      </w:pPr>
      <w:r>
        <w:rPr>
          <w:rFonts w:eastAsia="方正仿宋_GBK"/>
          <w:sz w:val="32"/>
          <w:szCs w:val="32"/>
        </w:rPr>
        <w:t>公平竞争审查工作已纳入政府部门年度考核、法治政府建设和优化营商环境等考评体系，同时也是今年南京市</w:t>
      </w:r>
      <w:r>
        <w:rPr>
          <w:rFonts w:eastAsia="方正仿宋_GBK"/>
          <w:sz w:val="32"/>
          <w:szCs w:val="32"/>
        </w:rPr>
        <w:t>“</w:t>
      </w:r>
      <w:r>
        <w:rPr>
          <w:rFonts w:eastAsia="方正仿宋_GBK"/>
          <w:sz w:val="32"/>
          <w:szCs w:val="32"/>
        </w:rPr>
        <w:t>五拼五比晒五榜勠力同心促发展</w:t>
      </w:r>
      <w:r>
        <w:rPr>
          <w:rFonts w:eastAsia="方正仿宋_GBK"/>
          <w:sz w:val="32"/>
          <w:szCs w:val="32"/>
        </w:rPr>
        <w:t xml:space="preserve">” </w:t>
      </w:r>
      <w:r>
        <w:rPr>
          <w:rFonts w:eastAsia="方正仿宋_GBK"/>
          <w:sz w:val="32"/>
          <w:szCs w:val="32"/>
        </w:rPr>
        <w:t>竞赛活动</w:t>
      </w:r>
      <w:r>
        <w:rPr>
          <w:rFonts w:eastAsia="方正仿宋_GBK"/>
          <w:sz w:val="32"/>
          <w:szCs w:val="32"/>
        </w:rPr>
        <w:t>的重要内容，为增强制度刚性约束，深入推进落实公平竞争审查制度，我局研究制定了《南京市商务局推进落实公平竞争审查制度</w:t>
      </w:r>
      <w:r>
        <w:rPr>
          <w:rFonts w:eastAsia="方正仿宋_GBK"/>
          <w:sz w:val="32"/>
          <w:szCs w:val="32"/>
        </w:rPr>
        <w:t>2023</w:t>
      </w:r>
      <w:r>
        <w:rPr>
          <w:rFonts w:eastAsia="方正仿宋_GBK"/>
          <w:sz w:val="32"/>
          <w:szCs w:val="32"/>
        </w:rPr>
        <w:t>年专项工作要点》，现印发给你们，请按照工作要求认真贯彻落实。</w:t>
      </w:r>
    </w:p>
    <w:p w:rsidR="00000000" w:rsidRDefault="00C908E0">
      <w:pPr>
        <w:adjustRightInd w:val="0"/>
        <w:spacing w:line="500" w:lineRule="exact"/>
        <w:rPr>
          <w:rFonts w:eastAsia="方正仿宋_GBK"/>
          <w:sz w:val="32"/>
          <w:szCs w:val="32"/>
        </w:rPr>
      </w:pPr>
    </w:p>
    <w:p w:rsidR="00000000" w:rsidRDefault="00C908E0" w:rsidP="00C908E0">
      <w:pPr>
        <w:adjustRightInd w:val="0"/>
        <w:spacing w:line="500" w:lineRule="exact"/>
        <w:ind w:firstLineChars="1950" w:firstLine="6050"/>
        <w:rPr>
          <w:rFonts w:eastAsia="方正仿宋_GBK"/>
          <w:sz w:val="32"/>
          <w:szCs w:val="32"/>
        </w:rPr>
      </w:pPr>
      <w:r>
        <w:rPr>
          <w:rFonts w:eastAsia="方正仿宋_GBK"/>
          <w:sz w:val="32"/>
          <w:szCs w:val="32"/>
        </w:rPr>
        <w:t>南京市商务局</w:t>
      </w:r>
    </w:p>
    <w:p w:rsidR="00000000" w:rsidRDefault="00C908E0" w:rsidP="00C908E0">
      <w:pPr>
        <w:adjustRightInd w:val="0"/>
        <w:spacing w:line="500" w:lineRule="exact"/>
        <w:ind w:firstLineChars="200" w:firstLine="621"/>
        <w:rPr>
          <w:rFonts w:eastAsia="方正仿宋_GBK"/>
          <w:sz w:val="32"/>
          <w:szCs w:val="32"/>
        </w:rPr>
      </w:pPr>
      <w:r>
        <w:rPr>
          <w:rFonts w:eastAsia="方正仿宋_GBK"/>
          <w:sz w:val="32"/>
          <w:szCs w:val="32"/>
        </w:rPr>
        <w:t xml:space="preserve">                  </w:t>
      </w:r>
      <w:r>
        <w:rPr>
          <w:rFonts w:eastAsia="方正仿宋_GBK"/>
          <w:sz w:val="32"/>
          <w:szCs w:val="32"/>
        </w:rPr>
        <w:t xml:space="preserve">               2023</w:t>
      </w:r>
      <w:r>
        <w:rPr>
          <w:rFonts w:eastAsia="方正仿宋_GBK"/>
          <w:sz w:val="32"/>
          <w:szCs w:val="32"/>
        </w:rPr>
        <w:t>年</w:t>
      </w:r>
      <w:r>
        <w:rPr>
          <w:rFonts w:eastAsia="方正仿宋_GBK"/>
          <w:sz w:val="32"/>
          <w:szCs w:val="32"/>
        </w:rPr>
        <w:t>4</w:t>
      </w:r>
      <w:r>
        <w:rPr>
          <w:rFonts w:eastAsia="方正仿宋_GBK"/>
          <w:sz w:val="32"/>
          <w:szCs w:val="32"/>
        </w:rPr>
        <w:t>月</w:t>
      </w:r>
      <w:r>
        <w:rPr>
          <w:rFonts w:eastAsia="方正仿宋_GBK"/>
          <w:sz w:val="32"/>
          <w:szCs w:val="32"/>
          <w:lang/>
        </w:rPr>
        <w:t>11</w:t>
      </w:r>
      <w:r>
        <w:rPr>
          <w:rFonts w:eastAsia="方正仿宋_GBK"/>
          <w:sz w:val="32"/>
          <w:szCs w:val="32"/>
        </w:rPr>
        <w:t>日</w:t>
      </w:r>
      <w:r>
        <w:rPr>
          <w:rFonts w:eastAsia="方正仿宋_GBK"/>
          <w:sz w:val="32"/>
          <w:szCs w:val="32"/>
        </w:rPr>
        <w:t xml:space="preserve">  </w:t>
      </w:r>
    </w:p>
    <w:p w:rsidR="00000000" w:rsidRDefault="00C908E0" w:rsidP="00C908E0">
      <w:pPr>
        <w:adjustRightInd w:val="0"/>
        <w:spacing w:line="500" w:lineRule="exact"/>
        <w:ind w:firstLineChars="200" w:firstLine="621"/>
        <w:rPr>
          <w:rFonts w:eastAsia="方正仿宋_GBK"/>
          <w:sz w:val="32"/>
          <w:szCs w:val="32"/>
        </w:rPr>
      </w:pPr>
    </w:p>
    <w:p w:rsidR="00000000" w:rsidRDefault="00C908E0" w:rsidP="00C908E0">
      <w:pPr>
        <w:ind w:rightChars="-100" w:right="-290" w:firstLineChars="100" w:firstLine="310"/>
        <w:rPr>
          <w:rFonts w:eastAsia="方正仿宋_GBK"/>
          <w:sz w:val="28"/>
          <w:szCs w:val="28"/>
        </w:rPr>
      </w:pPr>
      <w:r>
        <w:rPr>
          <w:rFonts w:eastAsia="方正仿宋_GBK"/>
          <w:sz w:val="32"/>
          <w:szCs w:val="32"/>
        </w:rPr>
        <w:pict>
          <v:line id="直线 32" o:spid="_x0000_s1056" style="position:absolute;left:0;text-align:left;z-index:251658240" from=".6pt,26.6pt" to="446.35pt,26.6pt"/>
        </w:pict>
      </w:r>
      <w:r>
        <w:rPr>
          <w:rFonts w:eastAsia="方正仿宋_GBK"/>
          <w:sz w:val="32"/>
          <w:szCs w:val="32"/>
        </w:rPr>
        <w:pict>
          <v:line id="直线 33" o:spid="_x0000_s1057" style="position:absolute;left:0;text-align:left;z-index:251657216" from="0,2.05pt" to="446.35pt,2.05pt"/>
        </w:pict>
      </w:r>
      <w:r>
        <w:rPr>
          <w:rFonts w:eastAsia="方正仿宋_GBK"/>
          <w:sz w:val="32"/>
          <w:szCs w:val="32"/>
        </w:rPr>
        <w:t>南京市商务局办公室</w:t>
      </w:r>
      <w:r>
        <w:rPr>
          <w:rFonts w:eastAsia="方正仿宋_GBK"/>
          <w:sz w:val="28"/>
          <w:szCs w:val="28"/>
        </w:rPr>
        <w:t xml:space="preserve">               </w:t>
      </w:r>
      <w:r>
        <w:rPr>
          <w:rFonts w:eastAsia="方正仿宋_GBK"/>
          <w:sz w:val="28"/>
          <w:szCs w:val="28"/>
          <w:lang/>
        </w:rPr>
        <w:t xml:space="preserve"> </w:t>
      </w:r>
      <w:r>
        <w:rPr>
          <w:rFonts w:eastAsia="方正仿宋_GBK"/>
          <w:sz w:val="28"/>
          <w:szCs w:val="28"/>
        </w:rPr>
        <w:t xml:space="preserve">   </w:t>
      </w:r>
      <w:bookmarkStart w:id="3" w:name="year"/>
      <w:r>
        <w:rPr>
          <w:rFonts w:eastAsia="方正仿宋_GBK"/>
          <w:sz w:val="32"/>
          <w:szCs w:val="32"/>
          <w:lang/>
        </w:rPr>
        <w:t>2023</w:t>
      </w:r>
      <w:bookmarkEnd w:id="3"/>
      <w:r>
        <w:rPr>
          <w:rFonts w:eastAsia="方正仿宋_GBK"/>
          <w:sz w:val="32"/>
          <w:szCs w:val="32"/>
        </w:rPr>
        <w:t>年</w:t>
      </w:r>
      <w:bookmarkStart w:id="4" w:name="month"/>
      <w:r>
        <w:rPr>
          <w:rFonts w:eastAsia="方正仿宋_GBK"/>
          <w:sz w:val="32"/>
          <w:szCs w:val="32"/>
          <w:lang/>
        </w:rPr>
        <w:t>4</w:t>
      </w:r>
      <w:bookmarkEnd w:id="4"/>
      <w:r>
        <w:rPr>
          <w:rFonts w:eastAsia="方正仿宋_GBK"/>
          <w:sz w:val="32"/>
          <w:szCs w:val="32"/>
        </w:rPr>
        <w:t>月</w:t>
      </w:r>
      <w:r>
        <w:rPr>
          <w:rFonts w:eastAsia="方正仿宋_GBK"/>
          <w:sz w:val="32"/>
          <w:szCs w:val="32"/>
          <w:lang/>
        </w:rPr>
        <w:t>11</w:t>
      </w:r>
      <w:r>
        <w:rPr>
          <w:rFonts w:eastAsia="方正仿宋_GBK"/>
          <w:sz w:val="32"/>
          <w:szCs w:val="32"/>
        </w:rPr>
        <w:t>日印发</w:t>
      </w:r>
    </w:p>
    <w:p w:rsidR="00000000" w:rsidRDefault="00C908E0">
      <w:pPr>
        <w:spacing w:line="640" w:lineRule="exact"/>
        <w:jc w:val="center"/>
        <w:rPr>
          <w:rFonts w:eastAsia="方正小标宋_GBK"/>
          <w:sz w:val="44"/>
          <w:szCs w:val="44"/>
        </w:rPr>
      </w:pPr>
      <w:r>
        <w:rPr>
          <w:rFonts w:eastAsia="方正小标宋_GBK"/>
          <w:sz w:val="44"/>
          <w:szCs w:val="44"/>
        </w:rPr>
        <w:lastRenderedPageBreak/>
        <w:t>南京市商务局推进落实公平竞争审查制度</w:t>
      </w:r>
      <w:r>
        <w:rPr>
          <w:rFonts w:eastAsia="方正小标宋_GBK"/>
          <w:sz w:val="44"/>
          <w:szCs w:val="44"/>
        </w:rPr>
        <w:t>2023</w:t>
      </w:r>
      <w:r>
        <w:rPr>
          <w:rFonts w:eastAsia="方正小标宋_GBK"/>
          <w:sz w:val="44"/>
          <w:szCs w:val="44"/>
        </w:rPr>
        <w:t>年专项工作要点</w:t>
      </w:r>
    </w:p>
    <w:p w:rsidR="00000000" w:rsidRDefault="00C908E0" w:rsidP="00C908E0">
      <w:pPr>
        <w:spacing w:line="640" w:lineRule="exact"/>
        <w:ind w:firstLineChars="200" w:firstLine="861"/>
        <w:jc w:val="center"/>
        <w:rPr>
          <w:rFonts w:eastAsia="方正小标宋_GBK"/>
          <w:sz w:val="44"/>
          <w:szCs w:val="44"/>
        </w:rPr>
      </w:pPr>
    </w:p>
    <w:p w:rsidR="00000000" w:rsidRDefault="00C908E0" w:rsidP="00C908E0">
      <w:pPr>
        <w:adjustRightInd w:val="0"/>
        <w:ind w:firstLineChars="200" w:firstLine="621"/>
        <w:rPr>
          <w:rFonts w:eastAsia="方正仿宋_GBK"/>
          <w:sz w:val="32"/>
          <w:szCs w:val="32"/>
        </w:rPr>
      </w:pPr>
      <w:r>
        <w:rPr>
          <w:rFonts w:eastAsia="方正仿宋_GBK"/>
          <w:sz w:val="32"/>
          <w:szCs w:val="32"/>
        </w:rPr>
        <w:t>为全面贯彻二十大精神，认真落实中央关于加快建设全国统一大市场，不断完善公平竞争审查工作机制，为各类市场主体营造稳定公开透明可预期的营商环境，根据国家、省、市推进公平竞争政策措施落实的要求，现就我局认真做好此项工作通知如下：</w:t>
      </w:r>
    </w:p>
    <w:p w:rsidR="00000000" w:rsidRDefault="00C908E0" w:rsidP="00C908E0">
      <w:pPr>
        <w:adjustRightInd w:val="0"/>
        <w:ind w:firstLineChars="200" w:firstLine="623"/>
        <w:rPr>
          <w:rFonts w:eastAsia="方正黑体_GBK"/>
          <w:b/>
          <w:bCs/>
          <w:sz w:val="32"/>
          <w:szCs w:val="32"/>
        </w:rPr>
      </w:pPr>
      <w:r>
        <w:rPr>
          <w:rFonts w:eastAsia="方正黑体_GBK"/>
          <w:b/>
          <w:bCs/>
          <w:sz w:val="32"/>
          <w:szCs w:val="32"/>
        </w:rPr>
        <w:t>一、进一步夯实公平竞争审查工作基础</w:t>
      </w:r>
    </w:p>
    <w:p w:rsidR="00000000" w:rsidRDefault="00C908E0" w:rsidP="00C908E0">
      <w:pPr>
        <w:adjustRightInd w:val="0"/>
        <w:ind w:firstLineChars="200" w:firstLine="621"/>
        <w:rPr>
          <w:rFonts w:eastAsia="方正仿宋_GBK"/>
          <w:sz w:val="32"/>
          <w:szCs w:val="32"/>
        </w:rPr>
      </w:pPr>
      <w:r>
        <w:rPr>
          <w:rFonts w:eastAsia="方正楷体_GBK"/>
          <w:sz w:val="32"/>
          <w:szCs w:val="32"/>
        </w:rPr>
        <w:t>1.</w:t>
      </w:r>
      <w:r>
        <w:rPr>
          <w:rFonts w:eastAsia="方正楷体_GBK"/>
          <w:sz w:val="32"/>
          <w:szCs w:val="32"/>
        </w:rPr>
        <w:t>严格落实公平竞争审查制度要求。</w:t>
      </w:r>
      <w:r>
        <w:rPr>
          <w:rFonts w:eastAsia="方正仿宋_GBK"/>
          <w:sz w:val="32"/>
          <w:szCs w:val="32"/>
        </w:rPr>
        <w:t>根据</w:t>
      </w:r>
      <w:r>
        <w:rPr>
          <w:rFonts w:eastAsia="仿宋"/>
          <w:sz w:val="32"/>
          <w:szCs w:val="32"/>
        </w:rPr>
        <w:t>市政府《</w:t>
      </w:r>
      <w:r>
        <w:rPr>
          <w:rFonts w:eastAsia="仿宋"/>
          <w:sz w:val="32"/>
          <w:szCs w:val="32"/>
        </w:rPr>
        <w:t>关</w:t>
      </w:r>
      <w:r>
        <w:rPr>
          <w:rFonts w:eastAsia="仿宋"/>
          <w:sz w:val="32"/>
          <w:szCs w:val="32"/>
        </w:rPr>
        <w:t>于</w:t>
      </w:r>
      <w:r>
        <w:rPr>
          <w:rFonts w:eastAsia="仿宋"/>
          <w:sz w:val="32"/>
          <w:szCs w:val="32"/>
        </w:rPr>
        <w:t>在市场体系建设中建立公平竞争审查制</w:t>
      </w:r>
      <w:r>
        <w:rPr>
          <w:rFonts w:eastAsia="仿宋"/>
          <w:sz w:val="32"/>
          <w:szCs w:val="32"/>
        </w:rPr>
        <w:t>度</w:t>
      </w:r>
      <w:r>
        <w:rPr>
          <w:rFonts w:eastAsia="仿宋"/>
          <w:sz w:val="32"/>
          <w:szCs w:val="32"/>
        </w:rPr>
        <w:t>的实施意见》</w:t>
      </w:r>
      <w:r>
        <w:rPr>
          <w:rFonts w:eastAsia="方正仿宋_GBK"/>
          <w:sz w:val="32"/>
          <w:szCs w:val="32"/>
        </w:rPr>
        <w:t>等相关要求，本局在制定市场准入、产业发展、招商引资、招标投标、政府采购、经营行为规范、资质标准等涉及市场主体活动的规范性文件和其他政策措施时，应当按照规定的审查机制、审查标准、审查范围、审查程序，全面进行公平竞争审查，未经公平竞争审查的，不得出台。</w:t>
      </w:r>
    </w:p>
    <w:p w:rsidR="00000000" w:rsidRDefault="00C908E0" w:rsidP="00C908E0">
      <w:pPr>
        <w:adjustRightInd w:val="0"/>
        <w:ind w:firstLineChars="200" w:firstLine="621"/>
        <w:rPr>
          <w:rFonts w:eastAsia="方正仿宋_GBK"/>
          <w:sz w:val="32"/>
          <w:szCs w:val="32"/>
        </w:rPr>
      </w:pPr>
      <w:r>
        <w:rPr>
          <w:rFonts w:eastAsia="方正楷体_GBK"/>
          <w:sz w:val="32"/>
          <w:szCs w:val="32"/>
        </w:rPr>
        <w:t>2.</w:t>
      </w:r>
      <w:r>
        <w:rPr>
          <w:rFonts w:eastAsia="方正楷体_GBK"/>
          <w:sz w:val="32"/>
          <w:szCs w:val="32"/>
        </w:rPr>
        <w:t>完善机关内部集中审查机制。</w:t>
      </w:r>
      <w:r>
        <w:rPr>
          <w:rFonts w:eastAsia="方正仿宋_GBK"/>
          <w:sz w:val="32"/>
          <w:szCs w:val="32"/>
        </w:rPr>
        <w:t>2021</w:t>
      </w:r>
      <w:r>
        <w:rPr>
          <w:rFonts w:eastAsia="方正仿宋_GBK"/>
          <w:sz w:val="32"/>
          <w:szCs w:val="32"/>
        </w:rPr>
        <w:t>年，作为试点单位，我局印发了《南京市商务局关于开展公平竞争审查机关内部集中审查试点工作的方案》，稳步推进机关内部集中审查机制。今年，我市全面推进实施政策制定机关内部</w:t>
      </w:r>
      <w:r>
        <w:rPr>
          <w:rFonts w:eastAsia="方正仿宋_GBK"/>
          <w:sz w:val="32"/>
          <w:szCs w:val="32"/>
        </w:rPr>
        <w:t>“</w:t>
      </w:r>
      <w:r>
        <w:rPr>
          <w:rFonts w:eastAsia="方正仿宋_GBK"/>
          <w:sz w:val="32"/>
          <w:szCs w:val="32"/>
        </w:rPr>
        <w:t>起草机</w:t>
      </w:r>
      <w:r>
        <w:rPr>
          <w:rFonts w:eastAsia="方正仿宋_GBK"/>
          <w:sz w:val="32"/>
          <w:szCs w:val="32"/>
        </w:rPr>
        <w:t>构初审</w:t>
      </w:r>
      <w:r>
        <w:rPr>
          <w:rFonts w:eastAsia="方正仿宋_GBK"/>
          <w:sz w:val="32"/>
          <w:szCs w:val="32"/>
        </w:rPr>
        <w:t>”</w:t>
      </w:r>
      <w:r>
        <w:rPr>
          <w:rFonts w:eastAsia="方正仿宋_GBK"/>
          <w:sz w:val="32"/>
          <w:szCs w:val="32"/>
        </w:rPr>
        <w:t>＋</w:t>
      </w:r>
      <w:r>
        <w:rPr>
          <w:rFonts w:eastAsia="方正仿宋_GBK"/>
          <w:sz w:val="32"/>
          <w:szCs w:val="32"/>
        </w:rPr>
        <w:t>“</w:t>
      </w:r>
      <w:r>
        <w:rPr>
          <w:rFonts w:eastAsia="方正仿宋_GBK"/>
          <w:sz w:val="32"/>
          <w:szCs w:val="32"/>
        </w:rPr>
        <w:t>内部特定机构统一复审</w:t>
      </w:r>
      <w:r>
        <w:rPr>
          <w:rFonts w:eastAsia="方正仿宋_GBK"/>
          <w:sz w:val="32"/>
          <w:szCs w:val="32"/>
        </w:rPr>
        <w:t>”</w:t>
      </w:r>
      <w:r>
        <w:rPr>
          <w:rFonts w:eastAsia="方正仿宋_GBK"/>
          <w:sz w:val="32"/>
          <w:szCs w:val="32"/>
        </w:rPr>
        <w:t>的双审查模式，对原有的审查机制进一步完善。我局各相关处室应对起草的政策措施负主体责任，政策法规处承担复</w:t>
      </w:r>
      <w:r>
        <w:rPr>
          <w:rFonts w:eastAsia="方正仿宋_GBK"/>
          <w:sz w:val="32"/>
          <w:szCs w:val="32"/>
        </w:rPr>
        <w:lastRenderedPageBreak/>
        <w:t>审责任。政策法规处提出的复审意见，起草处室应当采纳并及时纠正，拒不采纳或纠正的，报请局主要领导或局依法行政领导小组会议决定。</w:t>
      </w:r>
    </w:p>
    <w:p w:rsidR="00000000" w:rsidRDefault="00C908E0" w:rsidP="00C908E0">
      <w:pPr>
        <w:adjustRightInd w:val="0"/>
        <w:ind w:firstLineChars="200" w:firstLine="621"/>
        <w:rPr>
          <w:rFonts w:eastAsia="方正仿宋_GBK"/>
          <w:sz w:val="32"/>
          <w:szCs w:val="32"/>
        </w:rPr>
      </w:pPr>
      <w:r>
        <w:rPr>
          <w:rFonts w:eastAsia="方正楷体_GBK"/>
          <w:sz w:val="32"/>
          <w:szCs w:val="32"/>
        </w:rPr>
        <w:t>3.</w:t>
      </w:r>
      <w:r>
        <w:rPr>
          <w:rFonts w:eastAsia="方正楷体_GBK"/>
          <w:sz w:val="32"/>
          <w:szCs w:val="32"/>
        </w:rPr>
        <w:t>规范机关内部集中审查流程。</w:t>
      </w:r>
      <w:r>
        <w:rPr>
          <w:rFonts w:eastAsia="方正仿宋_GBK"/>
          <w:sz w:val="32"/>
          <w:szCs w:val="32"/>
        </w:rPr>
        <w:t>我局各相关处室起草的政策措施在履行了征求利害关系人意见或向社会公开征求意见等程序后，由起草处室对照《公平竞争审查制度实施细则》规定的审查标准进行初审，在《公平竞争审查表》</w:t>
      </w:r>
      <w:r>
        <w:rPr>
          <w:rFonts w:eastAsia="方正仿宋_GBK"/>
          <w:sz w:val="32"/>
          <w:szCs w:val="32"/>
        </w:rPr>
        <w:t>(</w:t>
      </w:r>
      <w:r>
        <w:rPr>
          <w:rFonts w:eastAsia="方正仿宋_GBK"/>
          <w:sz w:val="32"/>
          <w:szCs w:val="32"/>
        </w:rPr>
        <w:t>新版，见附件</w:t>
      </w:r>
      <w:r>
        <w:rPr>
          <w:rFonts w:eastAsia="方正仿宋_GBK"/>
          <w:sz w:val="32"/>
          <w:szCs w:val="32"/>
        </w:rPr>
        <w:t>1)</w:t>
      </w:r>
      <w:r>
        <w:rPr>
          <w:rFonts w:eastAsia="方正仿宋_GBK"/>
          <w:sz w:val="32"/>
          <w:szCs w:val="32"/>
        </w:rPr>
        <w:t>中签署初审意见后将政策措施（草拟</w:t>
      </w:r>
      <w:r>
        <w:rPr>
          <w:rFonts w:eastAsia="方正仿宋_GBK"/>
          <w:sz w:val="32"/>
          <w:szCs w:val="32"/>
        </w:rPr>
        <w:t>稿）交由政策法规处统一进行复审，政策法规处在《公平竞争审查表》中签署公平竞争复审意见。</w:t>
      </w:r>
    </w:p>
    <w:p w:rsidR="00000000" w:rsidRDefault="00C908E0" w:rsidP="00C908E0">
      <w:pPr>
        <w:adjustRightInd w:val="0"/>
        <w:ind w:firstLineChars="200" w:firstLine="621"/>
        <w:rPr>
          <w:rFonts w:eastAsia="方正仿宋_GBK"/>
          <w:sz w:val="32"/>
          <w:szCs w:val="32"/>
        </w:rPr>
      </w:pPr>
      <w:r>
        <w:rPr>
          <w:rFonts w:eastAsia="方正楷体_GBK"/>
          <w:sz w:val="32"/>
          <w:szCs w:val="32"/>
        </w:rPr>
        <w:t>4.</w:t>
      </w:r>
      <w:r>
        <w:rPr>
          <w:rFonts w:eastAsia="方正楷体_GBK"/>
          <w:sz w:val="32"/>
          <w:szCs w:val="32"/>
        </w:rPr>
        <w:t>严格执行各项制度。</w:t>
      </w:r>
      <w:r>
        <w:rPr>
          <w:rFonts w:eastAsia="方正仿宋_GBK"/>
          <w:sz w:val="32"/>
          <w:szCs w:val="32"/>
        </w:rPr>
        <w:t>为大力推进公平竞争审查工作，市政府相继建立政策措施公平竞争审查名录库制度、公平竞争审查清理定期报告工作制度、推进落实公平竞争审查责任过错追究办法，公平竞争审查约谈制度以及涉公平竞争审查投诉举报处理制度，各相关处室应严格规范执行。</w:t>
      </w:r>
    </w:p>
    <w:p w:rsidR="00000000" w:rsidRDefault="00C908E0" w:rsidP="00C908E0">
      <w:pPr>
        <w:adjustRightInd w:val="0"/>
        <w:ind w:firstLineChars="200" w:firstLine="621"/>
        <w:rPr>
          <w:rFonts w:eastAsia="方正黑体_GBK"/>
          <w:bCs/>
          <w:sz w:val="32"/>
          <w:szCs w:val="32"/>
        </w:rPr>
      </w:pPr>
      <w:r>
        <w:rPr>
          <w:rFonts w:eastAsia="方正黑体_GBK"/>
          <w:bCs/>
          <w:sz w:val="32"/>
          <w:szCs w:val="32"/>
        </w:rPr>
        <w:t>二、进一步提高公平竞争审查工作质效</w:t>
      </w:r>
    </w:p>
    <w:p w:rsidR="00000000" w:rsidRDefault="00C908E0" w:rsidP="00C908E0">
      <w:pPr>
        <w:adjustRightInd w:val="0"/>
        <w:ind w:firstLineChars="200" w:firstLine="621"/>
        <w:rPr>
          <w:rFonts w:eastAsia="方正仿宋_GBK"/>
          <w:sz w:val="32"/>
          <w:szCs w:val="32"/>
        </w:rPr>
      </w:pPr>
      <w:r>
        <w:rPr>
          <w:rFonts w:eastAsia="方正楷体_GBK"/>
          <w:sz w:val="32"/>
          <w:szCs w:val="32"/>
        </w:rPr>
        <w:t>5.</w:t>
      </w:r>
      <w:r>
        <w:rPr>
          <w:rFonts w:eastAsia="方正楷体_GBK"/>
          <w:sz w:val="32"/>
          <w:szCs w:val="32"/>
        </w:rPr>
        <w:t>强化增量政策措施审查力度。</w:t>
      </w:r>
      <w:r>
        <w:rPr>
          <w:rFonts w:eastAsia="方正仿宋_GBK"/>
          <w:sz w:val="32"/>
          <w:szCs w:val="32"/>
        </w:rPr>
        <w:t>准确把握公平竞争审查范围，凡本局当年制定的涉及市场主体经济活动的规章、规范性文件、其他政策措施以及</w:t>
      </w:r>
      <w:r>
        <w:rPr>
          <w:rFonts w:eastAsia="方正仿宋_GBK"/>
          <w:sz w:val="32"/>
          <w:szCs w:val="32"/>
        </w:rPr>
        <w:t>“</w:t>
      </w:r>
      <w:r>
        <w:rPr>
          <w:rFonts w:eastAsia="方正仿宋_GBK"/>
          <w:sz w:val="32"/>
          <w:szCs w:val="32"/>
        </w:rPr>
        <w:t>一事一</w:t>
      </w:r>
      <w:r>
        <w:rPr>
          <w:rFonts w:eastAsia="方正仿宋_GBK"/>
          <w:sz w:val="32"/>
          <w:szCs w:val="32"/>
        </w:rPr>
        <w:t>议</w:t>
      </w:r>
      <w:r>
        <w:rPr>
          <w:rFonts w:eastAsia="方正仿宋_GBK"/>
          <w:sz w:val="32"/>
          <w:szCs w:val="32"/>
        </w:rPr>
        <w:t>”</w:t>
      </w:r>
      <w:r>
        <w:rPr>
          <w:rFonts w:eastAsia="方正仿宋_GBK"/>
          <w:sz w:val="32"/>
          <w:szCs w:val="32"/>
        </w:rPr>
        <w:t>形式的具体政策措施，都应当进行公平竞争审查，做到</w:t>
      </w:r>
      <w:r>
        <w:rPr>
          <w:rFonts w:eastAsia="方正仿宋_GBK"/>
          <w:sz w:val="32"/>
          <w:szCs w:val="32"/>
        </w:rPr>
        <w:t>“</w:t>
      </w:r>
      <w:r>
        <w:rPr>
          <w:rFonts w:eastAsia="方正仿宋_GBK"/>
          <w:sz w:val="32"/>
          <w:szCs w:val="32"/>
        </w:rPr>
        <w:t>应审尽审</w:t>
      </w:r>
      <w:r>
        <w:rPr>
          <w:rFonts w:eastAsia="方正仿宋_GBK"/>
          <w:sz w:val="32"/>
          <w:szCs w:val="32"/>
        </w:rPr>
        <w:t>”</w:t>
      </w:r>
      <w:r>
        <w:rPr>
          <w:rFonts w:eastAsia="方正仿宋_GBK"/>
          <w:sz w:val="32"/>
          <w:szCs w:val="32"/>
        </w:rPr>
        <w:t>，严格执行审查标准，规范履行审查程序，切实提高审查质量。</w:t>
      </w:r>
    </w:p>
    <w:p w:rsidR="00000000" w:rsidRDefault="00C908E0" w:rsidP="00C908E0">
      <w:pPr>
        <w:adjustRightInd w:val="0"/>
        <w:ind w:firstLineChars="200" w:firstLine="621"/>
        <w:rPr>
          <w:rFonts w:eastAsia="方正仿宋_GBK"/>
          <w:sz w:val="32"/>
          <w:szCs w:val="32"/>
        </w:rPr>
      </w:pPr>
      <w:r>
        <w:rPr>
          <w:rFonts w:eastAsia="方正楷体_GBK"/>
          <w:sz w:val="32"/>
          <w:szCs w:val="32"/>
        </w:rPr>
        <w:t>6.</w:t>
      </w:r>
      <w:r>
        <w:rPr>
          <w:rFonts w:eastAsia="方正楷体_GBK"/>
          <w:sz w:val="32"/>
          <w:szCs w:val="32"/>
        </w:rPr>
        <w:t>动态开展存量政策措施清理。</w:t>
      </w:r>
      <w:r>
        <w:rPr>
          <w:rFonts w:eastAsia="方正仿宋_GBK"/>
          <w:sz w:val="32"/>
          <w:szCs w:val="32"/>
        </w:rPr>
        <w:t>各处室对</w:t>
      </w:r>
      <w:r>
        <w:rPr>
          <w:rFonts w:eastAsia="方正仿宋_GBK"/>
          <w:sz w:val="32"/>
          <w:szCs w:val="32"/>
        </w:rPr>
        <w:t>2018</w:t>
      </w:r>
      <w:r>
        <w:rPr>
          <w:rFonts w:eastAsia="方正仿宋_GBK"/>
          <w:sz w:val="32"/>
          <w:szCs w:val="32"/>
        </w:rPr>
        <w:t>年</w:t>
      </w:r>
      <w:r>
        <w:rPr>
          <w:rFonts w:eastAsia="方正仿宋_GBK"/>
          <w:sz w:val="32"/>
          <w:szCs w:val="32"/>
        </w:rPr>
        <w:t>1</w:t>
      </w:r>
      <w:r>
        <w:rPr>
          <w:rFonts w:eastAsia="方正仿宋_GBK"/>
          <w:sz w:val="32"/>
          <w:szCs w:val="32"/>
        </w:rPr>
        <w:t>月</w:t>
      </w:r>
      <w:r>
        <w:rPr>
          <w:rFonts w:eastAsia="方正仿宋_GBK"/>
          <w:sz w:val="32"/>
          <w:szCs w:val="32"/>
        </w:rPr>
        <w:t>1</w:t>
      </w:r>
      <w:r>
        <w:rPr>
          <w:rFonts w:eastAsia="方正仿宋_GBK"/>
          <w:sz w:val="32"/>
          <w:szCs w:val="32"/>
        </w:rPr>
        <w:t>日至</w:t>
      </w:r>
      <w:r>
        <w:rPr>
          <w:rFonts w:eastAsia="方正仿宋_GBK"/>
          <w:sz w:val="32"/>
          <w:szCs w:val="32"/>
        </w:rPr>
        <w:t>2022</w:t>
      </w:r>
      <w:r>
        <w:rPr>
          <w:rFonts w:eastAsia="方正仿宋_GBK"/>
          <w:sz w:val="32"/>
          <w:szCs w:val="32"/>
        </w:rPr>
        <w:t>年</w:t>
      </w:r>
      <w:r>
        <w:rPr>
          <w:rFonts w:eastAsia="方正仿宋_GBK"/>
          <w:sz w:val="32"/>
          <w:szCs w:val="32"/>
        </w:rPr>
        <w:t>12</w:t>
      </w:r>
      <w:r>
        <w:rPr>
          <w:rFonts w:eastAsia="方正仿宋_GBK"/>
          <w:sz w:val="32"/>
          <w:szCs w:val="32"/>
        </w:rPr>
        <w:t>月</w:t>
      </w:r>
      <w:r>
        <w:rPr>
          <w:rFonts w:eastAsia="方正仿宋_GBK"/>
          <w:sz w:val="32"/>
          <w:szCs w:val="32"/>
        </w:rPr>
        <w:t>31</w:t>
      </w:r>
      <w:r>
        <w:rPr>
          <w:rFonts w:eastAsia="方正仿宋_GBK"/>
          <w:sz w:val="32"/>
          <w:szCs w:val="32"/>
        </w:rPr>
        <w:t>日前制定并仍然有效使用的符合上述规定的相关政策措施文件，开展政策措施定期评估与动态存量清理，发现并</w:t>
      </w:r>
      <w:r>
        <w:rPr>
          <w:rFonts w:eastAsia="方正仿宋_GBK"/>
          <w:sz w:val="32"/>
          <w:szCs w:val="32"/>
        </w:rPr>
        <w:lastRenderedPageBreak/>
        <w:t>纠正政策措施在实际执行中产生的排除、限制竞争问题，对法律、行政法规或国务院规定发生变化的，要及时予以清理、评估、调整。同时由我局起草以市政府名义制定下发的政府规章和规范性文件也由起草处室一并清理。清理后按要求填写《</w:t>
      </w:r>
      <w:r>
        <w:rPr>
          <w:rFonts w:eastAsia="方正仿宋_GBK"/>
          <w:sz w:val="32"/>
          <w:szCs w:val="32"/>
        </w:rPr>
        <w:t>规章、规范性文件以及其他政策措施清理情况统计表》（见附件</w:t>
      </w:r>
      <w:r>
        <w:rPr>
          <w:rFonts w:eastAsia="方正仿宋_GBK"/>
          <w:sz w:val="32"/>
          <w:szCs w:val="32"/>
        </w:rPr>
        <w:t>2</w:t>
      </w:r>
      <w:r>
        <w:rPr>
          <w:rFonts w:eastAsia="方正仿宋_GBK"/>
          <w:sz w:val="32"/>
          <w:szCs w:val="32"/>
        </w:rPr>
        <w:t>）。</w:t>
      </w:r>
    </w:p>
    <w:p w:rsidR="00000000" w:rsidRDefault="00C908E0" w:rsidP="00C908E0">
      <w:pPr>
        <w:adjustRightInd w:val="0"/>
        <w:ind w:firstLineChars="200" w:firstLine="621"/>
        <w:rPr>
          <w:rFonts w:eastAsia="方正仿宋_GBK"/>
          <w:sz w:val="32"/>
          <w:szCs w:val="32"/>
        </w:rPr>
      </w:pPr>
      <w:r>
        <w:rPr>
          <w:rFonts w:eastAsia="方正楷体_GBK"/>
          <w:sz w:val="32"/>
          <w:szCs w:val="32"/>
        </w:rPr>
        <w:t>7.</w:t>
      </w:r>
      <w:r>
        <w:rPr>
          <w:rFonts w:eastAsia="方正楷体_GBK"/>
          <w:sz w:val="32"/>
          <w:szCs w:val="32"/>
        </w:rPr>
        <w:t>积极引入第三方评估机制。</w:t>
      </w:r>
      <w:r>
        <w:rPr>
          <w:rFonts w:eastAsia="方正仿宋_GBK"/>
          <w:sz w:val="32"/>
          <w:szCs w:val="32"/>
        </w:rPr>
        <w:t>进一步确立完善第三方评估机制，根据工作实际委托具备评估能力的法律服务机构、高等院校、科研院所、专业咨询公司等第三方机构进行公平竞争评估。对符合应当引入第三方评估情形的，须在公平竞争审查时进行第三方评估。</w:t>
      </w:r>
    </w:p>
    <w:p w:rsidR="00000000" w:rsidRDefault="00C908E0" w:rsidP="00C908E0">
      <w:pPr>
        <w:adjustRightInd w:val="0"/>
        <w:ind w:firstLineChars="200" w:firstLine="621"/>
        <w:rPr>
          <w:rFonts w:eastAsia="方正黑体_GBK"/>
          <w:bCs/>
          <w:sz w:val="32"/>
          <w:szCs w:val="32"/>
        </w:rPr>
      </w:pPr>
      <w:r>
        <w:rPr>
          <w:rFonts w:eastAsia="方正黑体_GBK"/>
          <w:bCs/>
          <w:sz w:val="32"/>
          <w:szCs w:val="32"/>
        </w:rPr>
        <w:t>三、进一步加强公平竞争审查工作支撑</w:t>
      </w:r>
    </w:p>
    <w:p w:rsidR="00000000" w:rsidRDefault="00C908E0" w:rsidP="00C908E0">
      <w:pPr>
        <w:adjustRightInd w:val="0"/>
        <w:ind w:firstLineChars="200" w:firstLine="621"/>
        <w:rPr>
          <w:rFonts w:eastAsia="方正仿宋_GBK"/>
          <w:sz w:val="32"/>
          <w:szCs w:val="32"/>
        </w:rPr>
      </w:pPr>
      <w:r>
        <w:rPr>
          <w:rFonts w:eastAsia="方正楷体_GBK"/>
          <w:sz w:val="32"/>
          <w:szCs w:val="32"/>
        </w:rPr>
        <w:t>8.</w:t>
      </w:r>
      <w:r>
        <w:rPr>
          <w:rFonts w:eastAsia="方正楷体_GBK"/>
          <w:sz w:val="32"/>
          <w:szCs w:val="32"/>
        </w:rPr>
        <w:t>加强统筹协调，落实考评要求。</w:t>
      </w:r>
      <w:r>
        <w:rPr>
          <w:rFonts w:eastAsia="方正仿宋_GBK"/>
          <w:sz w:val="32"/>
          <w:szCs w:val="32"/>
        </w:rPr>
        <w:t>近期，市政府针对公平竞争审查工作，先后印发了《关于配合做好市场监管总局对我省开展公平竞争审查第三方评估有关工作的通知》《关于印发</w:t>
      </w:r>
      <w:r>
        <w:rPr>
          <w:rFonts w:eastAsia="方正仿宋_GBK"/>
          <w:sz w:val="32"/>
          <w:szCs w:val="32"/>
        </w:rPr>
        <w:t>&lt;</w:t>
      </w:r>
      <w:r>
        <w:rPr>
          <w:rFonts w:eastAsia="方正仿宋_GBK"/>
          <w:sz w:val="32"/>
          <w:szCs w:val="32"/>
        </w:rPr>
        <w:t>拼服务比环境</w:t>
      </w:r>
      <w:r>
        <w:rPr>
          <w:rFonts w:eastAsia="方正仿宋_GBK"/>
          <w:sz w:val="32"/>
          <w:szCs w:val="32"/>
        </w:rPr>
        <w:t>“</w:t>
      </w:r>
      <w:r>
        <w:rPr>
          <w:rFonts w:eastAsia="方正仿宋_GBK"/>
          <w:sz w:val="32"/>
          <w:szCs w:val="32"/>
        </w:rPr>
        <w:t>效能</w:t>
      </w:r>
      <w:r>
        <w:rPr>
          <w:rFonts w:eastAsia="方正仿宋_GBK"/>
          <w:sz w:val="32"/>
          <w:szCs w:val="32"/>
        </w:rPr>
        <w:t>榜</w:t>
      </w:r>
      <w:r>
        <w:rPr>
          <w:rFonts w:eastAsia="方正仿宋_GBK"/>
          <w:sz w:val="32"/>
          <w:szCs w:val="32"/>
        </w:rPr>
        <w:t>”</w:t>
      </w:r>
      <w:r>
        <w:rPr>
          <w:rFonts w:eastAsia="方正仿宋_GBK"/>
          <w:sz w:val="32"/>
          <w:szCs w:val="32"/>
        </w:rPr>
        <w:t>操作流程手册</w:t>
      </w:r>
      <w:r>
        <w:rPr>
          <w:rFonts w:eastAsia="方正仿宋_GBK"/>
          <w:sz w:val="32"/>
          <w:szCs w:val="32"/>
        </w:rPr>
        <w:t>&gt;</w:t>
      </w:r>
      <w:r>
        <w:rPr>
          <w:rFonts w:eastAsia="方正仿宋_GBK"/>
          <w:sz w:val="32"/>
          <w:szCs w:val="32"/>
        </w:rPr>
        <w:t>并召开指标解读会的通知》，要求按照时间节点提供相关材料，请各处室高度重视，相互协调，安排专人负责，及时梳理并报告审查和清理情况。</w:t>
      </w:r>
    </w:p>
    <w:p w:rsidR="00000000" w:rsidRDefault="00C908E0" w:rsidP="00C908E0">
      <w:pPr>
        <w:adjustRightInd w:val="0"/>
        <w:ind w:firstLineChars="200" w:firstLine="621"/>
        <w:rPr>
          <w:rFonts w:eastAsia="方正仿宋_GBK"/>
          <w:sz w:val="32"/>
          <w:szCs w:val="32"/>
        </w:rPr>
      </w:pPr>
      <w:r>
        <w:rPr>
          <w:rFonts w:eastAsia="方正楷体_GBK"/>
          <w:sz w:val="32"/>
          <w:szCs w:val="32"/>
        </w:rPr>
        <w:t>9.</w:t>
      </w:r>
      <w:r>
        <w:rPr>
          <w:rFonts w:eastAsia="方正楷体_GBK"/>
          <w:sz w:val="32"/>
          <w:szCs w:val="32"/>
        </w:rPr>
        <w:t>借助信息手段，提高智能化水平。</w:t>
      </w:r>
      <w:r>
        <w:rPr>
          <w:rFonts w:eastAsia="方正仿宋_GBK"/>
          <w:sz w:val="32"/>
          <w:szCs w:val="32"/>
        </w:rPr>
        <w:t>严格按照办公</w:t>
      </w:r>
      <w:r>
        <w:rPr>
          <w:rFonts w:eastAsia="方正仿宋_GBK"/>
          <w:sz w:val="32"/>
          <w:szCs w:val="32"/>
        </w:rPr>
        <w:t>OA</w:t>
      </w:r>
      <w:r>
        <w:rPr>
          <w:rFonts w:eastAsia="方正仿宋_GBK"/>
          <w:sz w:val="32"/>
          <w:szCs w:val="32"/>
        </w:rPr>
        <w:t>系统发文管理中的公平竞争审查模块进行操作，确保应审尽审；推广应用公平竞争审查大数据监测评估系统，利用信息手段协助开展增量措施审查和存量措施清理工作，不断提高公平竞争审查智能化水平。</w:t>
      </w:r>
    </w:p>
    <w:p w:rsidR="00000000" w:rsidRDefault="00C908E0" w:rsidP="00C908E0">
      <w:pPr>
        <w:adjustRightInd w:val="0"/>
        <w:ind w:firstLineChars="200" w:firstLine="621"/>
        <w:rPr>
          <w:rFonts w:eastAsia="方正仿宋_GBK"/>
          <w:sz w:val="32"/>
          <w:szCs w:val="32"/>
        </w:rPr>
      </w:pPr>
      <w:r>
        <w:rPr>
          <w:rFonts w:eastAsia="方正楷体_GBK"/>
          <w:sz w:val="32"/>
          <w:szCs w:val="32"/>
        </w:rPr>
        <w:t>10.</w:t>
      </w:r>
      <w:r>
        <w:rPr>
          <w:rFonts w:eastAsia="方正楷体_GBK"/>
          <w:sz w:val="32"/>
          <w:szCs w:val="32"/>
        </w:rPr>
        <w:t>强化宣传培训，传播公平竞争理念。</w:t>
      </w:r>
      <w:r>
        <w:rPr>
          <w:rFonts w:eastAsia="方正仿宋_GBK"/>
          <w:sz w:val="32"/>
          <w:szCs w:val="32"/>
        </w:rPr>
        <w:t>本局将通过多种形式大力宣传公平竞争审查制度，通过政策解读、以案释法等宣传竞争政策，形成公平竞争</w:t>
      </w:r>
      <w:r>
        <w:rPr>
          <w:rFonts w:eastAsia="方正仿宋_GBK"/>
          <w:sz w:val="32"/>
          <w:szCs w:val="32"/>
        </w:rPr>
        <w:t>风尚，营造良好社会舆论环境。同时将公平竞争审查纳入党政领导干部培训机关内部业务培训内容，全面提升全市公平竞争审查工作能力和水平。</w:t>
      </w:r>
    </w:p>
    <w:p w:rsidR="00000000" w:rsidRDefault="00C908E0" w:rsidP="00C908E0">
      <w:pPr>
        <w:adjustRightInd w:val="0"/>
        <w:ind w:firstLineChars="200" w:firstLine="621"/>
        <w:rPr>
          <w:rFonts w:eastAsia="方正仿宋_GBK"/>
          <w:sz w:val="32"/>
          <w:szCs w:val="32"/>
        </w:rPr>
      </w:pPr>
    </w:p>
    <w:p w:rsidR="00000000" w:rsidRDefault="00C908E0" w:rsidP="00C908E0">
      <w:pPr>
        <w:spacing w:line="640" w:lineRule="exact"/>
        <w:ind w:firstLineChars="200" w:firstLine="621"/>
        <w:rPr>
          <w:rFonts w:eastAsia="方正仿宋_GBK"/>
          <w:sz w:val="32"/>
          <w:szCs w:val="32"/>
        </w:rPr>
      </w:pPr>
    </w:p>
    <w:p w:rsidR="00000000" w:rsidRDefault="00C908E0" w:rsidP="00C908E0">
      <w:pPr>
        <w:spacing w:line="640" w:lineRule="exact"/>
        <w:ind w:firstLineChars="200" w:firstLine="621"/>
        <w:rPr>
          <w:rFonts w:eastAsia="方正仿宋_GBK"/>
          <w:sz w:val="32"/>
          <w:szCs w:val="32"/>
        </w:rPr>
      </w:pPr>
    </w:p>
    <w:p w:rsidR="00000000" w:rsidRDefault="00C908E0" w:rsidP="00C908E0">
      <w:pPr>
        <w:spacing w:line="640" w:lineRule="exact"/>
        <w:ind w:firstLineChars="200" w:firstLine="621"/>
        <w:rPr>
          <w:rFonts w:eastAsia="仿宋"/>
          <w:sz w:val="32"/>
          <w:szCs w:val="32"/>
        </w:rPr>
      </w:pPr>
    </w:p>
    <w:p w:rsidR="00000000" w:rsidRDefault="00C908E0" w:rsidP="00C908E0">
      <w:pPr>
        <w:spacing w:line="640" w:lineRule="exact"/>
        <w:ind w:firstLineChars="200" w:firstLine="621"/>
        <w:rPr>
          <w:rFonts w:eastAsia="仿宋"/>
          <w:sz w:val="32"/>
          <w:szCs w:val="32"/>
        </w:rPr>
      </w:pPr>
    </w:p>
    <w:p w:rsidR="00000000" w:rsidRDefault="00C908E0" w:rsidP="00C908E0">
      <w:pPr>
        <w:spacing w:line="640" w:lineRule="exact"/>
        <w:ind w:firstLineChars="200" w:firstLine="621"/>
        <w:rPr>
          <w:rFonts w:eastAsia="仿宋"/>
          <w:sz w:val="32"/>
          <w:szCs w:val="32"/>
        </w:rPr>
      </w:pPr>
    </w:p>
    <w:p w:rsidR="00000000" w:rsidRDefault="00C908E0" w:rsidP="00C908E0">
      <w:pPr>
        <w:spacing w:line="640" w:lineRule="exact"/>
        <w:ind w:firstLineChars="200" w:firstLine="621"/>
        <w:rPr>
          <w:rFonts w:eastAsia="仿宋"/>
          <w:sz w:val="32"/>
          <w:szCs w:val="32"/>
        </w:rPr>
      </w:pPr>
    </w:p>
    <w:p w:rsidR="00000000" w:rsidRDefault="00C908E0">
      <w:pPr>
        <w:spacing w:line="220" w:lineRule="atLeast"/>
        <w:rPr>
          <w:sz w:val="32"/>
          <w:szCs w:val="32"/>
        </w:rPr>
      </w:pPr>
    </w:p>
    <w:p w:rsidR="00000000" w:rsidRDefault="00C908E0">
      <w:pPr>
        <w:spacing w:line="220" w:lineRule="atLeast"/>
        <w:rPr>
          <w:sz w:val="32"/>
          <w:szCs w:val="32"/>
        </w:rPr>
      </w:pPr>
    </w:p>
    <w:p w:rsidR="00000000" w:rsidRDefault="00C908E0">
      <w:pPr>
        <w:spacing w:line="220" w:lineRule="atLeast"/>
        <w:rPr>
          <w:sz w:val="32"/>
          <w:szCs w:val="32"/>
        </w:rPr>
      </w:pPr>
    </w:p>
    <w:p w:rsidR="00000000" w:rsidRDefault="00C908E0">
      <w:pPr>
        <w:spacing w:line="220" w:lineRule="atLeast"/>
        <w:rPr>
          <w:sz w:val="32"/>
          <w:szCs w:val="32"/>
        </w:rPr>
      </w:pPr>
    </w:p>
    <w:p w:rsidR="00000000" w:rsidRDefault="00C908E0">
      <w:pPr>
        <w:spacing w:line="220" w:lineRule="atLeast"/>
        <w:rPr>
          <w:sz w:val="32"/>
          <w:szCs w:val="32"/>
        </w:rPr>
      </w:pPr>
    </w:p>
    <w:p w:rsidR="00000000" w:rsidRDefault="00C908E0">
      <w:pPr>
        <w:spacing w:line="220" w:lineRule="atLeast"/>
        <w:rPr>
          <w:sz w:val="32"/>
          <w:szCs w:val="32"/>
        </w:rPr>
      </w:pPr>
    </w:p>
    <w:p w:rsidR="00000000" w:rsidRDefault="00C908E0">
      <w:pPr>
        <w:spacing w:line="220" w:lineRule="atLeast"/>
        <w:rPr>
          <w:sz w:val="32"/>
          <w:szCs w:val="32"/>
        </w:rPr>
      </w:pPr>
    </w:p>
    <w:p w:rsidR="00000000" w:rsidRDefault="00C908E0">
      <w:pPr>
        <w:spacing w:line="220" w:lineRule="atLeast"/>
        <w:rPr>
          <w:sz w:val="32"/>
          <w:szCs w:val="32"/>
        </w:rPr>
      </w:pPr>
    </w:p>
    <w:p w:rsidR="00000000" w:rsidRDefault="00C908E0">
      <w:pPr>
        <w:spacing w:line="220" w:lineRule="atLeast"/>
        <w:rPr>
          <w:sz w:val="32"/>
          <w:szCs w:val="32"/>
        </w:rPr>
      </w:pPr>
    </w:p>
    <w:p w:rsidR="00000000" w:rsidRDefault="00C908E0" w:rsidP="00C908E0">
      <w:pPr>
        <w:spacing w:line="520" w:lineRule="exact"/>
        <w:ind w:rightChars="-100" w:right="-290"/>
        <w:rPr>
          <w:rFonts w:eastAsia="方正仿宋_GBK"/>
          <w:sz w:val="32"/>
          <w:szCs w:val="32"/>
        </w:rPr>
      </w:pPr>
    </w:p>
    <w:p w:rsidR="00000000" w:rsidRDefault="00C908E0" w:rsidP="00C908E0">
      <w:pPr>
        <w:spacing w:line="520" w:lineRule="exact"/>
        <w:ind w:rightChars="-100" w:right="-290"/>
        <w:rPr>
          <w:rFonts w:eastAsia="方正仿宋_GBK"/>
          <w:sz w:val="32"/>
          <w:szCs w:val="32"/>
        </w:rPr>
      </w:pPr>
    </w:p>
    <w:sectPr w:rsidR="00000000">
      <w:headerReference w:type="even" r:id="rId6"/>
      <w:footerReference w:type="even" r:id="rId7"/>
      <w:footerReference w:type="default" r:id="rId8"/>
      <w:pgSz w:w="11907" w:h="16840"/>
      <w:pgMar w:top="2098" w:right="1361" w:bottom="1701" w:left="1588" w:header="1247" w:footer="1247" w:gutter="0"/>
      <w:cols w:space="720"/>
      <w:docGrid w:type="linesAndChars" w:linePitch="567" w:charSpace="-199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C908E0">
      <w:r>
        <w:separator/>
      </w:r>
    </w:p>
  </w:endnote>
  <w:endnote w:type="continuationSeparator" w:id="0">
    <w:p w:rsidR="00000000" w:rsidRDefault="00C908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00"/>
    <w:family w:val="modern"/>
    <w:pitch w:val="default"/>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908E0">
    <w:pPr>
      <w:pStyle w:val="a5"/>
      <w:ind w:firstLineChars="150" w:firstLine="420"/>
      <w:rPr>
        <w:sz w:val="28"/>
        <w:szCs w:val="28"/>
      </w:rPr>
    </w:pP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sidRPr="00C908E0">
      <w:rPr>
        <w:noProof/>
        <w:sz w:val="28"/>
        <w:szCs w:val="28"/>
        <w:lang w:val="zh-CN" w:eastAsia="zh-CN"/>
      </w:rPr>
      <w:t>4</w:t>
    </w:r>
    <w:r>
      <w:rPr>
        <w:sz w:val="28"/>
        <w:szCs w:val="28"/>
      </w:rPr>
      <w:fldChar w:fldCharType="end"/>
    </w:r>
    <w:r>
      <w:rPr>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908E0">
    <w:pPr>
      <w:pStyle w:val="a5"/>
      <w:ind w:right="420"/>
      <w:jc w:val="right"/>
      <w:rPr>
        <w:sz w:val="28"/>
        <w:szCs w:val="28"/>
      </w:rPr>
    </w:pP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sidRPr="00C908E0">
      <w:rPr>
        <w:noProof/>
        <w:sz w:val="28"/>
        <w:szCs w:val="28"/>
        <w:lang w:val="zh-CN" w:eastAsia="zh-CN"/>
      </w:rPr>
      <w:t>5</w:t>
    </w:r>
    <w:r>
      <w:rPr>
        <w:sz w:val="28"/>
        <w:szCs w:val="28"/>
      </w:rPr>
      <w:fldChar w:fldCharType="end"/>
    </w:r>
    <w:r>
      <w:rPr>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C908E0">
      <w:r>
        <w:separator/>
      </w:r>
    </w:p>
  </w:footnote>
  <w:footnote w:type="continuationSeparator" w:id="0">
    <w:p w:rsidR="00000000" w:rsidRDefault="00C908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908E0">
    <w:pPr>
      <w:pStyle w:val="a6"/>
      <w:pBdr>
        <w:bottom w:val="none" w:sz="0" w:space="1"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500"/>
  <w:evenAndOddHeaders/>
  <w:characterSpacingControl w:val="doNotCompress"/>
  <w:footnotePr>
    <w:footnote w:id="-1"/>
    <w:footnote w:id="0"/>
  </w:footnotePr>
  <w:endnotePr>
    <w:endnote w:id="-1"/>
    <w:endnote w:id="0"/>
  </w:endnotePr>
  <w:compat>
    <w:spaceForUL/>
    <w:balanceSingleByteDoubleByteWidth/>
    <w:doNotExpandShiftReturn/>
    <w:useFELayout/>
  </w:compat>
  <w:rsids>
    <w:rsidRoot w:val="2FF59AE6"/>
    <w:rsid w:val="0001231B"/>
    <w:rsid w:val="00015A07"/>
    <w:rsid w:val="00017271"/>
    <w:rsid w:val="0002300D"/>
    <w:rsid w:val="00031EF4"/>
    <w:rsid w:val="00035C97"/>
    <w:rsid w:val="00037FE6"/>
    <w:rsid w:val="000543A4"/>
    <w:rsid w:val="0006058C"/>
    <w:rsid w:val="00061586"/>
    <w:rsid w:val="00062BD0"/>
    <w:rsid w:val="00075FF5"/>
    <w:rsid w:val="0008197B"/>
    <w:rsid w:val="00082244"/>
    <w:rsid w:val="0009635E"/>
    <w:rsid w:val="000A44B0"/>
    <w:rsid w:val="000D4355"/>
    <w:rsid w:val="000D7801"/>
    <w:rsid w:val="000F11EF"/>
    <w:rsid w:val="00105542"/>
    <w:rsid w:val="00120A70"/>
    <w:rsid w:val="00125476"/>
    <w:rsid w:val="00126939"/>
    <w:rsid w:val="00133CCA"/>
    <w:rsid w:val="001D2073"/>
    <w:rsid w:val="001D596A"/>
    <w:rsid w:val="001F1667"/>
    <w:rsid w:val="001F21BD"/>
    <w:rsid w:val="002466FA"/>
    <w:rsid w:val="002576B2"/>
    <w:rsid w:val="00282037"/>
    <w:rsid w:val="002852EB"/>
    <w:rsid w:val="002855AE"/>
    <w:rsid w:val="002A3008"/>
    <w:rsid w:val="002F1128"/>
    <w:rsid w:val="003018EE"/>
    <w:rsid w:val="003164C1"/>
    <w:rsid w:val="00343DE7"/>
    <w:rsid w:val="003447CE"/>
    <w:rsid w:val="00353E59"/>
    <w:rsid w:val="00361796"/>
    <w:rsid w:val="003840DD"/>
    <w:rsid w:val="00394E4E"/>
    <w:rsid w:val="003A4647"/>
    <w:rsid w:val="003A5073"/>
    <w:rsid w:val="00406119"/>
    <w:rsid w:val="00410B1C"/>
    <w:rsid w:val="00415A46"/>
    <w:rsid w:val="004429DF"/>
    <w:rsid w:val="00475278"/>
    <w:rsid w:val="00480A0D"/>
    <w:rsid w:val="00487FED"/>
    <w:rsid w:val="00490B25"/>
    <w:rsid w:val="00494010"/>
    <w:rsid w:val="0049488D"/>
    <w:rsid w:val="004A3742"/>
    <w:rsid w:val="004A3F62"/>
    <w:rsid w:val="004B3FAA"/>
    <w:rsid w:val="004E23F6"/>
    <w:rsid w:val="00501C69"/>
    <w:rsid w:val="00527327"/>
    <w:rsid w:val="0053224B"/>
    <w:rsid w:val="0055039F"/>
    <w:rsid w:val="0056116B"/>
    <w:rsid w:val="00563471"/>
    <w:rsid w:val="00566AD0"/>
    <w:rsid w:val="00595260"/>
    <w:rsid w:val="005E5D76"/>
    <w:rsid w:val="006257B9"/>
    <w:rsid w:val="00654B48"/>
    <w:rsid w:val="00663039"/>
    <w:rsid w:val="0066658B"/>
    <w:rsid w:val="006709B2"/>
    <w:rsid w:val="006922DD"/>
    <w:rsid w:val="00692A15"/>
    <w:rsid w:val="006D4E06"/>
    <w:rsid w:val="006E19ED"/>
    <w:rsid w:val="0070030B"/>
    <w:rsid w:val="00701983"/>
    <w:rsid w:val="00714819"/>
    <w:rsid w:val="0072526C"/>
    <w:rsid w:val="007256C8"/>
    <w:rsid w:val="00731241"/>
    <w:rsid w:val="007324D1"/>
    <w:rsid w:val="007328FF"/>
    <w:rsid w:val="007403D6"/>
    <w:rsid w:val="007604BA"/>
    <w:rsid w:val="00770570"/>
    <w:rsid w:val="007726BA"/>
    <w:rsid w:val="007B0D04"/>
    <w:rsid w:val="007B7777"/>
    <w:rsid w:val="007D422B"/>
    <w:rsid w:val="007E2186"/>
    <w:rsid w:val="008035DB"/>
    <w:rsid w:val="008426D9"/>
    <w:rsid w:val="00844364"/>
    <w:rsid w:val="00847BF5"/>
    <w:rsid w:val="00887256"/>
    <w:rsid w:val="008977CA"/>
    <w:rsid w:val="008C1E4D"/>
    <w:rsid w:val="008D5C8B"/>
    <w:rsid w:val="008E2D5C"/>
    <w:rsid w:val="008F69E3"/>
    <w:rsid w:val="00941695"/>
    <w:rsid w:val="009448CB"/>
    <w:rsid w:val="009572AF"/>
    <w:rsid w:val="00963F5C"/>
    <w:rsid w:val="009718F1"/>
    <w:rsid w:val="00975190"/>
    <w:rsid w:val="00996609"/>
    <w:rsid w:val="009A3E18"/>
    <w:rsid w:val="009C19F1"/>
    <w:rsid w:val="009D2137"/>
    <w:rsid w:val="009E4A77"/>
    <w:rsid w:val="009F21EA"/>
    <w:rsid w:val="009F650C"/>
    <w:rsid w:val="00A050CA"/>
    <w:rsid w:val="00A15342"/>
    <w:rsid w:val="00A3402C"/>
    <w:rsid w:val="00A448F0"/>
    <w:rsid w:val="00A54213"/>
    <w:rsid w:val="00A70E9E"/>
    <w:rsid w:val="00A740EA"/>
    <w:rsid w:val="00A824F3"/>
    <w:rsid w:val="00A87043"/>
    <w:rsid w:val="00AA108D"/>
    <w:rsid w:val="00AA2A10"/>
    <w:rsid w:val="00AD4489"/>
    <w:rsid w:val="00AE1B13"/>
    <w:rsid w:val="00AE5CEE"/>
    <w:rsid w:val="00B1116A"/>
    <w:rsid w:val="00B36B3E"/>
    <w:rsid w:val="00B51354"/>
    <w:rsid w:val="00B5593F"/>
    <w:rsid w:val="00B721D7"/>
    <w:rsid w:val="00B72305"/>
    <w:rsid w:val="00BB290E"/>
    <w:rsid w:val="00BD2966"/>
    <w:rsid w:val="00BD7DC0"/>
    <w:rsid w:val="00C26E93"/>
    <w:rsid w:val="00C3208D"/>
    <w:rsid w:val="00C41726"/>
    <w:rsid w:val="00C430A2"/>
    <w:rsid w:val="00C51E27"/>
    <w:rsid w:val="00C53F3A"/>
    <w:rsid w:val="00C55D1C"/>
    <w:rsid w:val="00C67B33"/>
    <w:rsid w:val="00C7629C"/>
    <w:rsid w:val="00C908E0"/>
    <w:rsid w:val="00CB4F6C"/>
    <w:rsid w:val="00CC7162"/>
    <w:rsid w:val="00CD3B6D"/>
    <w:rsid w:val="00CE2268"/>
    <w:rsid w:val="00CE58D6"/>
    <w:rsid w:val="00D348DB"/>
    <w:rsid w:val="00D4122B"/>
    <w:rsid w:val="00D47744"/>
    <w:rsid w:val="00D521E3"/>
    <w:rsid w:val="00DB0350"/>
    <w:rsid w:val="00DB0530"/>
    <w:rsid w:val="00DB06FD"/>
    <w:rsid w:val="00DD1A41"/>
    <w:rsid w:val="00E00339"/>
    <w:rsid w:val="00E041B0"/>
    <w:rsid w:val="00E055E5"/>
    <w:rsid w:val="00E11008"/>
    <w:rsid w:val="00E16A49"/>
    <w:rsid w:val="00E22616"/>
    <w:rsid w:val="00E232F8"/>
    <w:rsid w:val="00E24485"/>
    <w:rsid w:val="00E33FDD"/>
    <w:rsid w:val="00E35B84"/>
    <w:rsid w:val="00E6114D"/>
    <w:rsid w:val="00E863C8"/>
    <w:rsid w:val="00E90E28"/>
    <w:rsid w:val="00EB7A90"/>
    <w:rsid w:val="00EC5E5E"/>
    <w:rsid w:val="00EC6464"/>
    <w:rsid w:val="00ED2468"/>
    <w:rsid w:val="00ED4B00"/>
    <w:rsid w:val="00F23DE2"/>
    <w:rsid w:val="00F438A2"/>
    <w:rsid w:val="00F66C67"/>
    <w:rsid w:val="00F96D37"/>
    <w:rsid w:val="00FA2D29"/>
    <w:rsid w:val="00FC4BD8"/>
    <w:rsid w:val="00FE656A"/>
    <w:rsid w:val="00FE72FA"/>
    <w:rsid w:val="2FF59AE6"/>
    <w:rsid w:val="7FFB62E6"/>
    <w:rsid w:val="DA88942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0"/>
    </w:rPr>
  </w:style>
  <w:style w:type="character" w:default="1" w:styleId="a0">
    <w:name w:val="Default Paragraph Font"/>
    <w:semiHidden/>
    <w:qFormat/>
  </w:style>
  <w:style w:type="table" w:default="1" w:styleId="a1">
    <w:name w:val="Normal Table"/>
    <w:semiHidden/>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pPr>
      <w:ind w:leftChars="2500" w:left="100"/>
    </w:pPr>
  </w:style>
  <w:style w:type="paragraph" w:styleId="a4">
    <w:name w:val="Balloon Text"/>
    <w:basedOn w:val="a"/>
    <w:rPr>
      <w:sz w:val="18"/>
      <w:szCs w:val="18"/>
    </w:rPr>
  </w:style>
  <w:style w:type="paragraph" w:styleId="a5">
    <w:name w:val="footer"/>
    <w:basedOn w:val="a"/>
    <w:pPr>
      <w:tabs>
        <w:tab w:val="center" w:pos="4153"/>
        <w:tab w:val="right" w:pos="8306"/>
      </w:tabs>
      <w:snapToGrid w:val="0"/>
      <w:jc w:val="left"/>
    </w:pPr>
    <w:rPr>
      <w:sz w:val="18"/>
    </w:rPr>
  </w:style>
  <w:style w:type="paragraph" w:styleId="a6">
    <w:name w:val="header"/>
    <w:basedOn w:val="a"/>
    <w:link w:val="Char"/>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6"/>
    <w:rPr>
      <w:rFonts w:eastAsia="仿宋_GB2312"/>
      <w:kern w:val="2"/>
      <w:sz w:val="18"/>
      <w:szCs w:val="18"/>
    </w:rPr>
  </w:style>
  <w:style w:type="table" w:styleId="a7">
    <w:name w:val="Table Grid"/>
    <w:basedOn w:val="a1"/>
    <w:uiPriority w:val="59"/>
    <w:qFormat/>
    <w:rPr>
      <w:rFonts w:ascii="Calibri" w:eastAsia="微软雅黑"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style>
  <w:style w:type="paragraph" w:styleId="a9">
    <w:name w:val="List Paragraph"/>
    <w:basedOn w:val="a"/>
    <w:uiPriority w:val="34"/>
    <w:qFormat/>
    <w:pPr>
      <w:widowControl/>
      <w:adjustRightInd w:val="0"/>
      <w:snapToGrid w:val="0"/>
      <w:spacing w:after="200"/>
      <w:ind w:firstLineChars="200" w:firstLine="420"/>
      <w:jc w:val="left"/>
    </w:pPr>
    <w:rPr>
      <w:rFonts w:ascii="Tahoma" w:eastAsia="微软雅黑" w:hAnsi="Tahoma"/>
      <w:kern w:val="0"/>
      <w:sz w:val="22"/>
      <w:szCs w:val="22"/>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318</Words>
  <Characters>1813</Characters>
  <Application>Microsoft Office Word</Application>
  <DocSecurity>0</DocSecurity>
  <Lines>15</Lines>
  <Paragraphs>4</Paragraphs>
  <ScaleCrop>false</ScaleCrop>
  <Company/>
  <LinksUpToDate>false</LinksUpToDate>
  <CharactersWithSpaces>2127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宁商贸［2003］号</dc:title>
  <dc:creator>王娟</dc:creator>
  <cp:lastModifiedBy>Administrator</cp:lastModifiedBy>
  <cp:revision>2</cp:revision>
  <cp:lastPrinted>2023-04-12T02:25:00Z</cp:lastPrinted>
  <dcterms:created xsi:type="dcterms:W3CDTF">2023-04-13T03:07:00Z</dcterms:created>
  <dcterms:modified xsi:type="dcterms:W3CDTF">2023-04-13T03:07:00Z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