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napToGrid w:val="0"/>
        <w:spacing w:line="580" w:lineRule="exact"/>
        <w:jc w:val="center"/>
        <w:rPr>
          <w:rFonts w:ascii="方正小标宋_GBK" w:hAnsi="宋体" w:eastAsia="方正小标宋_GBK" w:cs="宋体"/>
          <w:sz w:val="44"/>
          <w:szCs w:val="44"/>
        </w:rPr>
      </w:pPr>
      <w:bookmarkStart w:id="0" w:name="bookmark6"/>
      <w:bookmarkStart w:id="1" w:name="bookmark8"/>
      <w:bookmarkStart w:id="2" w:name="bookmark7"/>
      <w:r>
        <w:rPr>
          <w:rFonts w:hint="eastAsia" w:ascii="方正小标宋_GBK" w:hAnsi="宋体" w:eastAsia="方正小标宋_GBK" w:cs="宋体"/>
          <w:sz w:val="44"/>
          <w:szCs w:val="44"/>
        </w:rPr>
        <w:t>南京老字号建设管理办法</w:t>
      </w:r>
      <w:bookmarkEnd w:id="0"/>
      <w:bookmarkEnd w:id="1"/>
      <w:bookmarkEnd w:id="2"/>
    </w:p>
    <w:p>
      <w:pPr>
        <w:snapToGrid w:val="0"/>
        <w:spacing w:line="580" w:lineRule="exact"/>
        <w:jc w:val="center"/>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bookmarkStart w:id="29" w:name="_GoBack"/>
      <w:bookmarkEnd w:id="29"/>
      <w:r>
        <w:rPr>
          <w:rFonts w:hint="eastAsia" w:ascii="方正楷体_GBK" w:hAnsi="方正楷体_GBK" w:eastAsia="方正楷体_GBK" w:cs="方正楷体_GBK"/>
          <w:sz w:val="32"/>
          <w:szCs w:val="32"/>
        </w:rPr>
        <w:t>征求意见稿）</w:t>
      </w:r>
    </w:p>
    <w:p>
      <w:pPr>
        <w:snapToGrid w:val="0"/>
        <w:spacing w:line="580" w:lineRule="exact"/>
        <w:rPr>
          <w:rFonts w:ascii="方正黑体_GBK" w:hAnsi="宋体" w:eastAsia="方正黑体_GBK" w:cs="宋体"/>
          <w:sz w:val="32"/>
          <w:szCs w:val="32"/>
        </w:rPr>
      </w:pPr>
    </w:p>
    <w:p>
      <w:pPr>
        <w:snapToGrid w:val="0"/>
        <w:spacing w:line="580" w:lineRule="exact"/>
        <w:jc w:val="center"/>
        <w:rPr>
          <w:rFonts w:ascii="方正黑体_GBK" w:hAnsi="宋体" w:eastAsia="方正黑体_GBK" w:cs="宋体"/>
          <w:sz w:val="32"/>
          <w:szCs w:val="32"/>
        </w:rPr>
      </w:pPr>
      <w:r>
        <w:rPr>
          <w:rFonts w:hint="eastAsia" w:ascii="方正黑体_GBK" w:hAnsi="宋体" w:eastAsia="方正黑体_GBK" w:cs="宋体"/>
          <w:sz w:val="32"/>
          <w:szCs w:val="32"/>
        </w:rPr>
        <w:t>第一章  总  则</w:t>
      </w:r>
    </w:p>
    <w:p>
      <w:pPr>
        <w:snapToGrid w:val="0"/>
        <w:spacing w:line="580" w:lineRule="exact"/>
        <w:ind w:firstLine="640" w:firstLineChars="200"/>
        <w:rPr>
          <w:rFonts w:ascii="方正黑体_GBK" w:hAnsi="宋体" w:eastAsia="方正黑体_GBK" w:cs="宋体"/>
          <w:sz w:val="32"/>
          <w:szCs w:val="32"/>
        </w:rPr>
      </w:pPr>
    </w:p>
    <w:p>
      <w:pPr>
        <w:snapToGrid w:val="0"/>
        <w:spacing w:line="580" w:lineRule="exact"/>
        <w:ind w:firstLine="640" w:firstLineChars="200"/>
        <w:rPr>
          <w:rFonts w:ascii="方正仿宋_GBK" w:hAnsi="宋体" w:eastAsia="方正仿宋_GBK" w:cs="宋体"/>
          <w:sz w:val="32"/>
          <w:szCs w:val="32"/>
        </w:rPr>
      </w:pPr>
      <w:r>
        <w:rPr>
          <w:rFonts w:hint="eastAsia" w:ascii="方正黑体_GBK" w:hAnsi="宋体" w:eastAsia="方正黑体_GBK" w:cs="宋体"/>
          <w:sz w:val="32"/>
          <w:szCs w:val="32"/>
        </w:rPr>
        <w:t xml:space="preserve">第一条  </w:t>
      </w:r>
      <w:r>
        <w:rPr>
          <w:rFonts w:hint="eastAsia" w:ascii="方正仿宋_GBK" w:hAnsi="宋体" w:eastAsia="方正仿宋_GBK" w:cs="宋体"/>
          <w:sz w:val="32"/>
          <w:szCs w:val="32"/>
        </w:rPr>
        <w:t>为贯彻《中共中央办公厅国务院办公厅关于实施中华优秀传统文化传承发展工程的意见》《商务部</w:t>
      </w:r>
      <w:r>
        <w:rPr>
          <w:rFonts w:ascii="Times New Roman" w:hAnsi="Times New Roman" w:eastAsia="方正仿宋_GBK" w:cs="Times New Roman"/>
          <w:sz w:val="32"/>
          <w:szCs w:val="32"/>
        </w:rPr>
        <w:t>等5部门关于印发〈中华老字号示范创建管理办法〉的通知》（商流通规发</w:t>
      </w:r>
      <w:r>
        <w:rPr>
          <w:rFonts w:hint="default" w:ascii="Times New Roman" w:hAnsi="Times New Roman" w:eastAsia="方正仿宋_GBK" w:cs="Times New Roman"/>
          <w:sz w:val="32"/>
          <w:szCs w:val="32"/>
        </w:rPr>
        <w:t>﹝2023﹞6</w:t>
      </w:r>
      <w:r>
        <w:rPr>
          <w:rFonts w:ascii="Times New Roman" w:hAnsi="Times New Roman" w:eastAsia="方正仿宋_GBK" w:cs="Times New Roman"/>
          <w:sz w:val="32"/>
          <w:szCs w:val="32"/>
        </w:rPr>
        <w:t>号）和《省商务厅等5部门关于印发〈江苏老字号建设管理办法〉的通知》（苏商规</w:t>
      </w:r>
      <w:r>
        <w:rPr>
          <w:rFonts w:hint="default" w:ascii="Times New Roman" w:hAnsi="Times New Roman" w:eastAsia="方正仿宋_GBK" w:cs="Times New Roman"/>
          <w:sz w:val="32"/>
          <w:szCs w:val="32"/>
        </w:rPr>
        <w:t>﹝2023﹞1</w:t>
      </w:r>
      <w:r>
        <w:rPr>
          <w:rFonts w:ascii="Times New Roman" w:hAnsi="Times New Roman" w:eastAsia="方正仿宋_GBK" w:cs="Times New Roman"/>
          <w:sz w:val="32"/>
          <w:szCs w:val="32"/>
        </w:rPr>
        <w:t>号）</w:t>
      </w:r>
      <w:r>
        <w:rPr>
          <w:rFonts w:hint="eastAsia" w:ascii="方正仿宋_GBK" w:hAnsi="宋体" w:eastAsia="方正仿宋_GBK" w:cs="宋体"/>
          <w:sz w:val="32"/>
          <w:szCs w:val="32"/>
        </w:rPr>
        <w:t>等文件精神，完整、准确、全面贯彻新发展理念，充分发挥老字号在商贸流通、消费促进、质量管理、技术创新、品牌建设、文化传承等方面的示范引领作用，促进南京市老字号文化传承和创新发展。结合南京实际，制定本办法。</w:t>
      </w:r>
    </w:p>
    <w:p>
      <w:pPr>
        <w:snapToGrid w:val="0"/>
        <w:spacing w:line="580" w:lineRule="exact"/>
        <w:ind w:firstLine="640" w:firstLineChars="200"/>
        <w:rPr>
          <w:rFonts w:ascii="方正仿宋_GBK" w:eastAsia="方正仿宋_GBK"/>
          <w:color w:val="000000"/>
          <w:sz w:val="32"/>
          <w:szCs w:val="32"/>
        </w:rPr>
      </w:pPr>
      <w:r>
        <w:rPr>
          <w:rFonts w:hint="eastAsia" w:ascii="方正黑体_GBK" w:hAnsi="宋体" w:eastAsia="方正黑体_GBK" w:cs="宋体"/>
          <w:color w:val="000000"/>
          <w:sz w:val="32"/>
          <w:szCs w:val="32"/>
        </w:rPr>
        <w:t xml:space="preserve">第二条  </w:t>
      </w:r>
      <w:r>
        <w:rPr>
          <w:rFonts w:hint="eastAsia" w:ascii="方正仿宋_GBK" w:hAnsi="宋体" w:eastAsia="方正仿宋_GBK" w:cs="宋体"/>
          <w:color w:val="000000"/>
          <w:sz w:val="32"/>
          <w:szCs w:val="32"/>
        </w:rPr>
        <w:t>本办法所称南京老字号，是指注册地在南京市行政区域内，历史底蕴深厚、文化特色鲜明、工艺技术独特、设计制造精良、产品服务优质、营销渠道高效，在本市范围内受到社会广泛认同的品牌（以字号、商标等为表达）。</w:t>
      </w:r>
    </w:p>
    <w:p>
      <w:pPr>
        <w:snapToGrid w:val="0"/>
        <w:spacing w:line="580" w:lineRule="exact"/>
        <w:ind w:firstLine="640" w:firstLineChars="200"/>
        <w:rPr>
          <w:rFonts w:ascii="方正仿宋_GBK" w:hAnsi="宋体" w:eastAsia="方正仿宋_GBK" w:cs="宋体"/>
          <w:color w:val="000000"/>
          <w:sz w:val="32"/>
          <w:szCs w:val="32"/>
        </w:rPr>
      </w:pPr>
      <w:r>
        <w:rPr>
          <w:rFonts w:hint="eastAsia" w:ascii="方正黑体_GBK" w:hAnsi="宋体" w:eastAsia="方正黑体_GBK" w:cs="宋体"/>
          <w:sz w:val="32"/>
          <w:szCs w:val="32"/>
        </w:rPr>
        <w:t xml:space="preserve">第三条  </w:t>
      </w:r>
      <w:r>
        <w:rPr>
          <w:rFonts w:hint="eastAsia" w:ascii="方正仿宋_GBK" w:hAnsi="宋体" w:eastAsia="方正仿宋_GBK" w:cs="宋体"/>
          <w:color w:val="000000"/>
          <w:sz w:val="32"/>
          <w:szCs w:val="32"/>
        </w:rPr>
        <w:t>市商务主管部门负责全市南京老字号建设管理工作，会同市文化和旅游部门、市市场监管部门（以下简称相关部门）将符合本</w:t>
      </w:r>
      <w:r>
        <w:rPr>
          <w:rFonts w:hint="eastAsia" w:ascii="方正仿宋_GBK" w:hAnsi="方正仿宋_GBK" w:eastAsia="方正仿宋_GBK" w:cs="方正仿宋_GBK"/>
          <w:color w:val="000000"/>
          <w:sz w:val="32"/>
          <w:szCs w:val="32"/>
        </w:rPr>
        <w:t>办法</w:t>
      </w:r>
      <w:r>
        <w:rPr>
          <w:rFonts w:hint="eastAsia" w:ascii="方正仿宋_GBK" w:hAnsi="方正仿宋_GBK" w:eastAsia="方正仿宋_GBK" w:cs="方正仿宋_GBK"/>
          <w:b/>
          <w:bCs/>
          <w:color w:val="000000"/>
          <w:sz w:val="32"/>
          <w:szCs w:val="32"/>
        </w:rPr>
        <w:t>第二条、第八条、第九条</w:t>
      </w:r>
      <w:r>
        <w:rPr>
          <w:rFonts w:hint="eastAsia" w:ascii="方正仿宋_GBK" w:hAnsi="方正仿宋_GBK" w:eastAsia="方正仿宋_GBK" w:cs="方正仿宋_GBK"/>
          <w:color w:val="000000"/>
          <w:sz w:val="32"/>
          <w:szCs w:val="32"/>
        </w:rPr>
        <w:t>规</w:t>
      </w:r>
      <w:r>
        <w:rPr>
          <w:rFonts w:hint="eastAsia" w:ascii="方正仿宋_GBK" w:hAnsi="宋体" w:eastAsia="方正仿宋_GBK" w:cs="宋体"/>
          <w:color w:val="000000"/>
          <w:sz w:val="32"/>
          <w:szCs w:val="32"/>
        </w:rPr>
        <w:t>定，在全市范围内具有较强引领性的品牌及其所属企业列入南京老字号名录。</w:t>
      </w:r>
    </w:p>
    <w:p>
      <w:pPr>
        <w:snapToGrid w:val="0"/>
        <w:spacing w:line="580" w:lineRule="exact"/>
        <w:ind w:firstLine="640" w:firstLineChars="200"/>
        <w:rPr>
          <w:rFonts w:ascii="方正仿宋_GBK" w:hAnsi="宋体" w:eastAsia="方正仿宋_GBK" w:cs="宋体"/>
          <w:color w:val="000000"/>
          <w:sz w:val="32"/>
          <w:szCs w:val="32"/>
        </w:rPr>
      </w:pPr>
      <w:r>
        <w:rPr>
          <w:rFonts w:hint="eastAsia" w:ascii="方正仿宋_GBK" w:hAnsi="宋体" w:eastAsia="方正仿宋_GBK" w:cs="宋体"/>
          <w:color w:val="000000"/>
          <w:sz w:val="32"/>
          <w:szCs w:val="32"/>
        </w:rPr>
        <w:t>区级商务主管部门会同同级相关部门负责本行政区域内南京老字号建设管理相关工作。</w:t>
      </w:r>
    </w:p>
    <w:p>
      <w:pPr>
        <w:snapToGrid w:val="0"/>
        <w:spacing w:line="580" w:lineRule="exact"/>
        <w:ind w:firstLine="640" w:firstLineChars="200"/>
        <w:rPr>
          <w:rFonts w:ascii="方正仿宋_GBK" w:hAnsi="宋体" w:eastAsia="方正仿宋_GBK" w:cs="宋体"/>
          <w:sz w:val="32"/>
          <w:szCs w:val="32"/>
        </w:rPr>
      </w:pPr>
      <w:r>
        <w:rPr>
          <w:rFonts w:hint="eastAsia" w:ascii="方正黑体_GBK" w:hAnsi="宋体" w:eastAsia="方正黑体_GBK" w:cs="宋体"/>
          <w:sz w:val="32"/>
          <w:szCs w:val="32"/>
        </w:rPr>
        <w:t xml:space="preserve">第四条  </w:t>
      </w:r>
      <w:r>
        <w:rPr>
          <w:rFonts w:hint="eastAsia" w:ascii="方正仿宋_GBK" w:hAnsi="宋体" w:eastAsia="方正仿宋_GBK" w:cs="宋体"/>
          <w:sz w:val="32"/>
          <w:szCs w:val="32"/>
        </w:rPr>
        <w:t>南京老字号建</w:t>
      </w:r>
      <w:r>
        <w:rPr>
          <w:rFonts w:hint="eastAsia" w:ascii="方正仿宋_GBK" w:hAnsi="宋体" w:eastAsia="方正仿宋_GBK" w:cs="宋体"/>
          <w:color w:val="000000"/>
          <w:sz w:val="32"/>
          <w:szCs w:val="32"/>
        </w:rPr>
        <w:t>设管理工作遵循</w:t>
      </w:r>
      <w:r>
        <w:rPr>
          <w:rFonts w:hint="eastAsia" w:ascii="方正仿宋_GBK" w:eastAsia="方正仿宋_GBK"/>
          <w:sz w:val="32"/>
          <w:szCs w:val="32"/>
        </w:rPr>
        <w:t>“</w:t>
      </w:r>
      <w:r>
        <w:rPr>
          <w:rFonts w:hint="eastAsia" w:ascii="方正仿宋_GBK" w:hAnsi="宋体" w:eastAsia="方正仿宋_GBK" w:cs="宋体"/>
          <w:sz w:val="32"/>
          <w:szCs w:val="32"/>
        </w:rPr>
        <w:t>自愿申报、自主建设、优中择优、动态管理</w:t>
      </w:r>
      <w:r>
        <w:rPr>
          <w:rFonts w:hint="eastAsia" w:ascii="方正仿宋_GBK" w:eastAsia="方正仿宋_GBK"/>
          <w:sz w:val="32"/>
          <w:szCs w:val="32"/>
        </w:rPr>
        <w:t>”</w:t>
      </w:r>
      <w:r>
        <w:rPr>
          <w:rFonts w:hint="eastAsia" w:ascii="方正仿宋_GBK" w:hAnsi="宋体" w:eastAsia="方正仿宋_GBK" w:cs="宋体"/>
          <w:sz w:val="32"/>
          <w:szCs w:val="32"/>
        </w:rPr>
        <w:t>的原则。</w:t>
      </w:r>
    </w:p>
    <w:p>
      <w:pPr>
        <w:snapToGrid w:val="0"/>
        <w:spacing w:line="580" w:lineRule="exact"/>
        <w:ind w:firstLine="640" w:firstLineChars="200"/>
        <w:rPr>
          <w:rFonts w:ascii="方正仿宋_GBK" w:hAnsi="宋体" w:eastAsia="方正仿宋_GBK" w:cs="宋体"/>
          <w:color w:val="000000"/>
          <w:sz w:val="32"/>
          <w:szCs w:val="32"/>
        </w:rPr>
      </w:pPr>
      <w:r>
        <w:rPr>
          <w:rFonts w:hint="eastAsia" w:ascii="方正黑体_GBK" w:hAnsi="宋体" w:eastAsia="方正黑体_GBK" w:cs="宋体"/>
          <w:color w:val="000000"/>
          <w:sz w:val="32"/>
          <w:szCs w:val="32"/>
        </w:rPr>
        <w:t xml:space="preserve">第五条  </w:t>
      </w:r>
      <w:r>
        <w:rPr>
          <w:rFonts w:hint="eastAsia" w:ascii="方正仿宋_GBK" w:hAnsi="宋体" w:eastAsia="方正仿宋_GBK" w:cs="宋体"/>
          <w:color w:val="000000"/>
          <w:sz w:val="32"/>
          <w:szCs w:val="32"/>
        </w:rPr>
        <w:t>南京老字号建设以企业为主体，建设企业应当体现</w:t>
      </w:r>
      <w:r>
        <w:rPr>
          <w:rFonts w:hint="eastAsia" w:ascii="方正仿宋_GBK" w:hAnsi="宋体" w:eastAsia="方正仿宋_GBK" w:cs="宋体"/>
          <w:color w:val="auto"/>
          <w:sz w:val="32"/>
          <w:szCs w:val="32"/>
        </w:rPr>
        <w:t>品牌</w:t>
      </w:r>
      <w:r>
        <w:rPr>
          <w:rFonts w:hint="eastAsia" w:ascii="方正仿宋_GBK" w:hAnsi="宋体" w:eastAsia="方正仿宋_GBK" w:cs="宋体"/>
          <w:color w:val="auto"/>
          <w:sz w:val="32"/>
          <w:szCs w:val="32"/>
          <w:lang w:eastAsia="zh-CN"/>
        </w:rPr>
        <w:t>示范</w:t>
      </w:r>
      <w:r>
        <w:rPr>
          <w:rFonts w:hint="eastAsia" w:ascii="方正仿宋_GBK" w:hAnsi="宋体" w:eastAsia="方正仿宋_GBK" w:cs="宋体"/>
          <w:color w:val="auto"/>
          <w:sz w:val="32"/>
          <w:szCs w:val="32"/>
        </w:rPr>
        <w:t>性</w:t>
      </w:r>
      <w:r>
        <w:rPr>
          <w:rFonts w:hint="eastAsia" w:ascii="方正仿宋_GBK" w:hAnsi="宋体" w:eastAsia="方正仿宋_GBK" w:cs="宋体"/>
          <w:color w:val="000000"/>
          <w:sz w:val="32"/>
          <w:szCs w:val="32"/>
        </w:rPr>
        <w:t>、企业代表性、行业引领性、文化传承性，注重理念、设计、研发、工艺、技术、制造、产品、服务、</w:t>
      </w:r>
      <w:r>
        <w:rPr>
          <w:rFonts w:hint="eastAsia" w:ascii="方正仿宋_GBK" w:hAnsi="宋体" w:eastAsia="方正仿宋_GBK" w:cs="宋体"/>
          <w:color w:val="000000"/>
          <w:sz w:val="32"/>
          <w:szCs w:val="32"/>
          <w:lang w:eastAsia="zh-CN"/>
        </w:rPr>
        <w:t>运</w:t>
      </w:r>
      <w:r>
        <w:rPr>
          <w:rFonts w:hint="eastAsia" w:ascii="方正仿宋_GBK" w:hAnsi="宋体" w:eastAsia="方正仿宋_GBK" w:cs="宋体"/>
          <w:color w:val="000000"/>
          <w:sz w:val="32"/>
          <w:szCs w:val="32"/>
        </w:rPr>
        <w:t>营、营销、管理等各方面创新，坚持绿色发展、与时俱进、守正创新，彰显经济价值、文化价值和社会价值。</w:t>
      </w:r>
    </w:p>
    <w:p>
      <w:pPr>
        <w:snapToGrid w:val="0"/>
        <w:spacing w:line="580" w:lineRule="exact"/>
        <w:ind w:firstLine="640" w:firstLineChars="200"/>
        <w:rPr>
          <w:rFonts w:ascii="方正仿宋_GBK" w:hAnsi="宋体" w:eastAsia="方正仿宋_GBK" w:cs="宋体"/>
          <w:sz w:val="32"/>
          <w:szCs w:val="32"/>
        </w:rPr>
      </w:pPr>
      <w:r>
        <w:rPr>
          <w:rFonts w:hint="eastAsia" w:ascii="方正黑体_GBK" w:hAnsi="宋体" w:eastAsia="方正黑体_GBK" w:cs="宋体"/>
          <w:sz w:val="32"/>
          <w:szCs w:val="32"/>
        </w:rPr>
        <w:t xml:space="preserve">第六条  </w:t>
      </w:r>
      <w:r>
        <w:rPr>
          <w:rFonts w:hint="eastAsia" w:ascii="方正仿宋_GBK" w:hAnsi="宋体" w:eastAsia="方正仿宋_GBK" w:cs="宋体"/>
          <w:sz w:val="32"/>
          <w:szCs w:val="32"/>
        </w:rPr>
        <w:t>市</w:t>
      </w:r>
      <w:r>
        <w:rPr>
          <w:rFonts w:hint="eastAsia" w:ascii="方正仿宋_GBK" w:hAnsi="宋体" w:eastAsia="方正仿宋_GBK" w:cs="宋体"/>
          <w:sz w:val="32"/>
          <w:szCs w:val="32"/>
          <w:lang w:eastAsia="zh-CN"/>
        </w:rPr>
        <w:t>级</w:t>
      </w:r>
      <w:r>
        <w:rPr>
          <w:rFonts w:hint="eastAsia" w:ascii="方正仿宋_GBK" w:hAnsi="宋体" w:eastAsia="方正仿宋_GBK" w:cs="宋体"/>
          <w:color w:val="000000"/>
          <w:sz w:val="32"/>
          <w:szCs w:val="32"/>
        </w:rPr>
        <w:t>商务主管部门会同</w:t>
      </w:r>
      <w:r>
        <w:rPr>
          <w:rFonts w:hint="eastAsia" w:ascii="方正仿宋_GBK" w:hAnsi="宋体" w:eastAsia="方正仿宋_GBK" w:cs="宋体"/>
          <w:sz w:val="32"/>
          <w:szCs w:val="32"/>
        </w:rPr>
        <w:t>市级相关部门，加强南京老字号知识产权、历史网点和文化遗产的保护利用与展示，为老字号文化传承、技艺改造、改革创新提供必要的政策支持；组织开展老字号宣传推广活动，提高全社会对南京老字号经济、文化和历史价值的认知。</w:t>
      </w:r>
    </w:p>
    <w:p>
      <w:pPr>
        <w:snapToGrid w:val="0"/>
        <w:spacing w:line="580" w:lineRule="exact"/>
        <w:ind w:firstLine="640" w:firstLineChars="200"/>
        <w:rPr>
          <w:rFonts w:ascii="方正仿宋_GBK" w:eastAsia="方正仿宋_GBK"/>
          <w:sz w:val="32"/>
          <w:szCs w:val="32"/>
        </w:rPr>
      </w:pPr>
      <w:r>
        <w:rPr>
          <w:rFonts w:hint="eastAsia" w:ascii="方正黑体_GBK" w:hAnsi="宋体" w:eastAsia="方正黑体_GBK" w:cs="宋体"/>
          <w:sz w:val="32"/>
          <w:szCs w:val="32"/>
        </w:rPr>
        <w:t xml:space="preserve">第七条  </w:t>
      </w:r>
      <w:r>
        <w:rPr>
          <w:rFonts w:hint="eastAsia" w:ascii="方正仿宋_GBK" w:hAnsi="宋体" w:eastAsia="方正仿宋_GBK" w:cs="宋体"/>
          <w:sz w:val="32"/>
          <w:szCs w:val="32"/>
        </w:rPr>
        <w:t>老字号相关商协会发挥行业促进作用，鼓励和支持组织制定团体标准，为南京市老字号提供传承保护、人才培训、信息交流、商务合作</w:t>
      </w:r>
      <w:r>
        <w:rPr>
          <w:rFonts w:hint="eastAsia" w:ascii="方正仿宋_GBK" w:hAnsi="宋体" w:eastAsia="方正仿宋_GBK" w:cs="宋体"/>
          <w:sz w:val="32"/>
          <w:szCs w:val="32"/>
          <w:lang w:eastAsia="zh-CN"/>
        </w:rPr>
        <w:t>、权益保护</w:t>
      </w:r>
      <w:r>
        <w:rPr>
          <w:rFonts w:hint="eastAsia" w:ascii="方正仿宋_GBK" w:hAnsi="宋体" w:eastAsia="方正仿宋_GBK" w:cs="宋体"/>
          <w:sz w:val="32"/>
          <w:szCs w:val="32"/>
        </w:rPr>
        <w:t>等方面的服务。老字号商</w:t>
      </w:r>
      <w:r>
        <w:rPr>
          <w:rFonts w:hint="eastAsia" w:ascii="方正仿宋_GBK" w:hAnsi="宋体" w:eastAsia="方正仿宋_GBK" w:cs="宋体"/>
          <w:color w:val="000000"/>
          <w:sz w:val="32"/>
          <w:szCs w:val="32"/>
        </w:rPr>
        <w:t>协会应加强行业自</w:t>
      </w:r>
      <w:r>
        <w:rPr>
          <w:rFonts w:hint="eastAsia" w:ascii="方正仿宋_GBK" w:hAnsi="宋体" w:eastAsia="方正仿宋_GBK" w:cs="宋体"/>
          <w:sz w:val="32"/>
          <w:szCs w:val="32"/>
        </w:rPr>
        <w:t>律，协助政府部门做好监督和管理，推动南京市老字号保护传承和创新发展。</w:t>
      </w:r>
    </w:p>
    <w:p>
      <w:pPr>
        <w:snapToGrid w:val="0"/>
        <w:spacing w:line="580" w:lineRule="exact"/>
        <w:rPr>
          <w:rFonts w:ascii="方正黑体_GBK" w:hAnsi="宋体" w:eastAsia="方正黑体_GBK" w:cs="宋体"/>
          <w:sz w:val="32"/>
          <w:szCs w:val="32"/>
        </w:rPr>
      </w:pPr>
    </w:p>
    <w:p>
      <w:pPr>
        <w:snapToGrid w:val="0"/>
        <w:spacing w:line="580" w:lineRule="exact"/>
        <w:jc w:val="center"/>
        <w:rPr>
          <w:rFonts w:ascii="方正黑体_GBK" w:hAnsi="宋体" w:eastAsia="方正黑体_GBK" w:cs="宋体"/>
          <w:sz w:val="32"/>
          <w:szCs w:val="32"/>
        </w:rPr>
      </w:pPr>
      <w:r>
        <w:rPr>
          <w:rFonts w:hint="eastAsia" w:ascii="方正黑体_GBK" w:hAnsi="宋体" w:eastAsia="方正黑体_GBK" w:cs="宋体"/>
          <w:sz w:val="32"/>
          <w:szCs w:val="32"/>
        </w:rPr>
        <w:t>第二章  基本条件</w:t>
      </w:r>
    </w:p>
    <w:p>
      <w:pPr>
        <w:snapToGrid w:val="0"/>
        <w:spacing w:line="580" w:lineRule="exact"/>
        <w:jc w:val="center"/>
        <w:rPr>
          <w:rFonts w:ascii="方正黑体_GBK" w:hAnsi="宋体" w:eastAsia="方正黑体_GBK" w:cs="宋体"/>
          <w:sz w:val="32"/>
          <w:szCs w:val="32"/>
        </w:rPr>
      </w:pPr>
    </w:p>
    <w:p>
      <w:pPr>
        <w:snapToGrid w:val="0"/>
        <w:spacing w:line="580" w:lineRule="exact"/>
        <w:ind w:firstLine="640" w:firstLineChars="200"/>
        <w:rPr>
          <w:rFonts w:ascii="方正仿宋_GBK" w:eastAsia="方正仿宋_GBK"/>
          <w:sz w:val="32"/>
          <w:szCs w:val="32"/>
        </w:rPr>
      </w:pPr>
      <w:r>
        <w:rPr>
          <w:rFonts w:hint="eastAsia" w:ascii="方正黑体_GBK" w:hAnsi="宋体" w:eastAsia="方正黑体_GBK" w:cs="宋体"/>
          <w:sz w:val="32"/>
          <w:szCs w:val="32"/>
        </w:rPr>
        <w:t xml:space="preserve">第八条  </w:t>
      </w:r>
      <w:r>
        <w:rPr>
          <w:rFonts w:hint="eastAsia" w:ascii="方正仿宋_GBK" w:hAnsi="宋体" w:eastAsia="方正仿宋_GBK" w:cs="宋体"/>
          <w:sz w:val="32"/>
          <w:szCs w:val="32"/>
        </w:rPr>
        <w:t>南京老字号应当具备以下基本条件：</w:t>
      </w:r>
    </w:p>
    <w:p>
      <w:pPr>
        <w:snapToGrid w:val="0"/>
        <w:spacing w:line="580" w:lineRule="exact"/>
        <w:ind w:firstLine="640" w:firstLineChars="200"/>
        <w:rPr>
          <w:rFonts w:ascii="方正仿宋_GBK" w:eastAsia="方正仿宋_GBK"/>
          <w:sz w:val="32"/>
          <w:szCs w:val="32"/>
        </w:rPr>
      </w:pPr>
      <w:r>
        <w:rPr>
          <w:rFonts w:hint="eastAsia" w:ascii="方正仿宋_GBK" w:hAnsi="宋体" w:eastAsia="方正仿宋_GBK" w:cs="宋体"/>
          <w:sz w:val="32"/>
          <w:szCs w:val="32"/>
        </w:rPr>
        <w:t>（一）品牌创立时间</w:t>
      </w:r>
      <w:r>
        <w:rPr>
          <w:rFonts w:ascii="Times New Roman" w:hAnsi="Times New Roman" w:eastAsia="方正仿宋_GBK" w:cs="Times New Roman"/>
          <w:sz w:val="32"/>
          <w:szCs w:val="32"/>
        </w:rPr>
        <w:t>在</w:t>
      </w:r>
      <w:r>
        <w:rPr>
          <w:rFonts w:hint="eastAsia" w:ascii="Times New Roman" w:hAnsi="Times New Roman" w:eastAsia="方正仿宋_GBK" w:cs="Times New Roman"/>
          <w:color w:val="auto"/>
          <w:sz w:val="32"/>
          <w:szCs w:val="32"/>
          <w:lang w:val="en-US" w:eastAsia="zh-CN"/>
        </w:rPr>
        <w:t>30</w:t>
      </w:r>
      <w:r>
        <w:rPr>
          <w:rFonts w:ascii="Times New Roman" w:hAnsi="Times New Roman" w:eastAsia="方正仿宋_GBK" w:cs="Times New Roman"/>
          <w:sz w:val="32"/>
          <w:szCs w:val="32"/>
        </w:rPr>
        <w:t>年</w:t>
      </w:r>
      <w:r>
        <w:rPr>
          <w:rFonts w:hint="eastAsia" w:ascii="方正仿宋_GBK" w:hAnsi="宋体" w:eastAsia="方正仿宋_GBK" w:cs="宋体"/>
          <w:sz w:val="32"/>
          <w:szCs w:val="32"/>
        </w:rPr>
        <w:t>（含）以上；</w:t>
      </w:r>
    </w:p>
    <w:p>
      <w:pPr>
        <w:snapToGrid w:val="0"/>
        <w:spacing w:line="58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（二）具有中华民族特色和鲜明的地域文化特征；</w:t>
      </w:r>
    </w:p>
    <w:p>
      <w:pPr>
        <w:snapToGrid w:val="0"/>
        <w:spacing w:line="58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（三） 面向居民生活提供经济价值、文化价值较高的产品、技艺或服务；</w:t>
      </w:r>
    </w:p>
    <w:p>
      <w:pPr>
        <w:snapToGrid w:val="0"/>
        <w:spacing w:line="58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（四）在所属行业或领域内具有代表性、引领性、典型性、和传承性，得到广泛的社会认同和赞誉。</w:t>
      </w:r>
    </w:p>
    <w:p>
      <w:pPr>
        <w:snapToGrid w:val="0"/>
        <w:spacing w:line="580" w:lineRule="exact"/>
        <w:ind w:firstLine="640" w:firstLineChars="200"/>
        <w:rPr>
          <w:rFonts w:ascii="方正仿宋_GBK" w:hAnsi="宋体" w:eastAsia="方正仿宋_GBK" w:cs="宋体"/>
          <w:sz w:val="32"/>
          <w:szCs w:val="32"/>
        </w:rPr>
      </w:pPr>
      <w:r>
        <w:rPr>
          <w:rFonts w:hint="eastAsia" w:ascii="方正黑体_GBK" w:hAnsi="宋体" w:eastAsia="方正黑体_GBK" w:cs="宋体"/>
          <w:sz w:val="32"/>
          <w:szCs w:val="32"/>
        </w:rPr>
        <w:t xml:space="preserve">第九条  </w:t>
      </w:r>
      <w:r>
        <w:rPr>
          <w:rFonts w:hint="eastAsia" w:ascii="方正仿宋_GBK" w:hAnsi="宋体" w:eastAsia="方正仿宋_GBK" w:cs="宋体"/>
          <w:sz w:val="32"/>
          <w:szCs w:val="32"/>
        </w:rPr>
        <w:t>南京老字号企业应当具备以下基本条件：</w:t>
      </w:r>
      <w:bookmarkStart w:id="3" w:name="bookmark13"/>
    </w:p>
    <w:bookmarkEnd w:id="3"/>
    <w:p>
      <w:pPr>
        <w:snapToGrid w:val="0"/>
        <w:spacing w:line="58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（一）在南京市内依</w:t>
      </w:r>
      <w:r>
        <w:rPr>
          <w:rFonts w:hint="eastAsia" w:ascii="方正仿宋_GBK" w:hAnsi="宋体" w:eastAsia="方正仿宋_GBK" w:cs="宋体"/>
          <w:color w:val="000000"/>
          <w:sz w:val="32"/>
          <w:szCs w:val="32"/>
        </w:rPr>
        <w:t>法设立</w:t>
      </w:r>
      <w:r>
        <w:rPr>
          <w:rFonts w:hint="eastAsia" w:ascii="方正仿宋_GBK" w:hAnsi="宋体" w:eastAsia="方正仿宋_GBK" w:cs="宋体"/>
          <w:sz w:val="32"/>
          <w:szCs w:val="32"/>
        </w:rPr>
        <w:t>并持续正常经营的企业；</w:t>
      </w:r>
      <w:bookmarkStart w:id="4" w:name="bookmark14"/>
    </w:p>
    <w:bookmarkEnd w:id="4"/>
    <w:p>
      <w:pPr>
        <w:snapToGrid w:val="0"/>
        <w:spacing w:line="580" w:lineRule="exact"/>
        <w:ind w:firstLine="640" w:firstLineChars="200"/>
        <w:rPr>
          <w:rFonts w:ascii="方正仿宋_GBK" w:eastAsia="方正仿宋_GBK"/>
          <w:sz w:val="32"/>
          <w:szCs w:val="32"/>
        </w:rPr>
      </w:pPr>
      <w:r>
        <w:rPr>
          <w:rFonts w:hint="eastAsia" w:ascii="方正仿宋_GBK" w:hAnsi="宋体" w:eastAsia="方正仿宋_GBK" w:cs="宋体"/>
          <w:sz w:val="32"/>
          <w:szCs w:val="32"/>
        </w:rPr>
        <w:t>（二）依法拥有与南京老字号相一致的字号，或与南京老字号相一致的注册商标所有权或独占许可使用权，未侵犯他人注册商标专用权等知识产权，传承关系明确且无争议；</w:t>
      </w:r>
    </w:p>
    <w:p>
      <w:pPr>
        <w:snapToGrid w:val="0"/>
        <w:spacing w:line="58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（三）主营业务连续经</w:t>
      </w:r>
      <w:r>
        <w:rPr>
          <w:rFonts w:ascii="Times New Roman" w:hAnsi="Times New Roman" w:eastAsia="方正仿宋_GBK" w:cs="Times New Roman"/>
          <w:sz w:val="32"/>
          <w:szCs w:val="32"/>
        </w:rPr>
        <w:t>营30年</w:t>
      </w:r>
      <w:r>
        <w:rPr>
          <w:rFonts w:hint="eastAsia" w:ascii="方正仿宋_GBK" w:hAnsi="宋体" w:eastAsia="方正仿宋_GBK" w:cs="宋体"/>
          <w:sz w:val="32"/>
          <w:szCs w:val="32"/>
        </w:rPr>
        <w:t>（含）以上，且主要面向居民生活提供商品或服务；</w:t>
      </w:r>
      <w:bookmarkStart w:id="5" w:name="bookmark16"/>
    </w:p>
    <w:bookmarkEnd w:id="5"/>
    <w:p>
      <w:pPr>
        <w:snapToGrid w:val="0"/>
        <w:spacing w:line="58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（四）经营状况良好，且具有较强的可持续发展能力；</w:t>
      </w:r>
      <w:bookmarkStart w:id="6" w:name="bookmark17"/>
    </w:p>
    <w:bookmarkEnd w:id="6"/>
    <w:p>
      <w:pPr>
        <w:snapToGrid w:val="0"/>
        <w:spacing w:line="580" w:lineRule="exact"/>
        <w:ind w:firstLine="640" w:firstLineChars="200"/>
        <w:rPr>
          <w:rFonts w:ascii="方正仿宋_GBK" w:eastAsia="方正仿宋_GBK"/>
          <w:color w:val="000000"/>
          <w:sz w:val="32"/>
          <w:szCs w:val="32"/>
        </w:rPr>
      </w:pPr>
      <w:r>
        <w:rPr>
          <w:rFonts w:hint="eastAsia" w:ascii="方正仿宋_GBK" w:hAnsi="宋体" w:eastAsia="方正仿宋_GBK" w:cs="宋体"/>
          <w:color w:val="000000"/>
          <w:sz w:val="32"/>
          <w:szCs w:val="32"/>
        </w:rPr>
        <w:t>（五）具有符合现代要求的企业治理模式，在设计、研发、工艺、技术、制造、产品、服务和经营理念、营销渠道、管理模式等方面具备较强的创新能力；</w:t>
      </w:r>
    </w:p>
    <w:p>
      <w:pPr>
        <w:snapToGrid w:val="0"/>
        <w:spacing w:line="580" w:lineRule="exact"/>
        <w:ind w:firstLine="640" w:firstLineChars="200"/>
        <w:rPr>
          <w:rFonts w:ascii="方正仿宋_GBK" w:hAnsi="宋体" w:eastAsia="方正仿宋_GBK" w:cs="宋体"/>
          <w:color w:val="000000"/>
          <w:sz w:val="32"/>
          <w:szCs w:val="32"/>
        </w:rPr>
      </w:pPr>
      <w:r>
        <w:rPr>
          <w:rFonts w:hint="eastAsia" w:ascii="方正仿宋_GBK" w:hAnsi="宋体" w:eastAsia="方正仿宋_GBK" w:cs="宋体"/>
          <w:color w:val="000000"/>
          <w:sz w:val="32"/>
          <w:szCs w:val="32"/>
        </w:rPr>
        <w:t>（六）履行社会责任，在所属行业或领域内具有较强影响力；</w:t>
      </w:r>
      <w:bookmarkStart w:id="7" w:name="bookmark19"/>
    </w:p>
    <w:bookmarkEnd w:id="7"/>
    <w:p>
      <w:pPr>
        <w:snapToGrid w:val="0"/>
        <w:spacing w:line="580" w:lineRule="exact"/>
        <w:ind w:firstLine="640" w:firstLineChars="200"/>
        <w:rPr>
          <w:rFonts w:ascii="方正仿宋_GBK" w:eastAsia="方正仿宋_GBK"/>
          <w:color w:val="000000"/>
          <w:sz w:val="32"/>
          <w:szCs w:val="32"/>
        </w:rPr>
      </w:pPr>
      <w:r>
        <w:rPr>
          <w:rFonts w:hint="eastAsia" w:ascii="方正仿宋_GBK" w:hAnsi="宋体" w:eastAsia="方正仿宋_GBK" w:cs="宋体"/>
          <w:color w:val="000000"/>
          <w:sz w:val="32"/>
          <w:szCs w:val="32"/>
        </w:rPr>
        <w:t>（七）未在经营异常名录或严重违法失信名单中，近三年未发生重大及以上安全生产事故或食品安全事故。</w:t>
      </w:r>
    </w:p>
    <w:p>
      <w:pPr>
        <w:snapToGrid w:val="0"/>
        <w:spacing w:line="580" w:lineRule="exact"/>
        <w:rPr>
          <w:rFonts w:ascii="方正黑体_GBK" w:hAnsi="宋体" w:eastAsia="方正黑体_GBK" w:cs="宋体"/>
          <w:sz w:val="32"/>
          <w:szCs w:val="32"/>
        </w:rPr>
      </w:pPr>
    </w:p>
    <w:p>
      <w:pPr>
        <w:snapToGrid w:val="0"/>
        <w:spacing w:line="580" w:lineRule="exact"/>
        <w:jc w:val="center"/>
        <w:rPr>
          <w:rFonts w:ascii="方正黑体_GBK" w:hAnsi="宋体" w:eastAsia="方正黑体_GBK" w:cs="宋体"/>
          <w:sz w:val="32"/>
          <w:szCs w:val="32"/>
        </w:rPr>
      </w:pPr>
      <w:r>
        <w:rPr>
          <w:rFonts w:hint="eastAsia" w:ascii="方正黑体_GBK" w:hAnsi="宋体" w:eastAsia="方正黑体_GBK" w:cs="宋体"/>
          <w:sz w:val="32"/>
          <w:szCs w:val="32"/>
        </w:rPr>
        <w:t>第三章 申报与认定</w:t>
      </w:r>
    </w:p>
    <w:p>
      <w:pPr>
        <w:snapToGrid w:val="0"/>
        <w:spacing w:line="580" w:lineRule="exact"/>
        <w:ind w:firstLine="640" w:firstLineChars="200"/>
        <w:rPr>
          <w:rFonts w:ascii="方正黑体_GBK" w:hAnsi="宋体" w:eastAsia="方正黑体_GBK" w:cs="宋体"/>
          <w:sz w:val="32"/>
          <w:szCs w:val="32"/>
        </w:rPr>
      </w:pPr>
    </w:p>
    <w:p>
      <w:pPr>
        <w:snapToGrid w:val="0"/>
        <w:spacing w:line="580" w:lineRule="exact"/>
        <w:ind w:firstLine="640" w:firstLineChars="200"/>
        <w:rPr>
          <w:rFonts w:ascii="方正仿宋_GBK" w:eastAsia="方正仿宋_GBK"/>
          <w:color w:val="000000"/>
          <w:sz w:val="32"/>
          <w:szCs w:val="32"/>
        </w:rPr>
      </w:pPr>
      <w:r>
        <w:rPr>
          <w:rFonts w:hint="eastAsia" w:ascii="方正黑体_GBK" w:hAnsi="宋体" w:eastAsia="方正黑体_GBK" w:cs="宋体"/>
          <w:sz w:val="32"/>
          <w:szCs w:val="32"/>
        </w:rPr>
        <w:t xml:space="preserve">第十条  </w:t>
      </w:r>
      <w:r>
        <w:rPr>
          <w:rFonts w:hint="eastAsia" w:ascii="方正仿宋_GBK" w:hAnsi="宋体" w:eastAsia="方正仿宋_GBK" w:cs="宋体"/>
          <w:color w:val="000000"/>
          <w:sz w:val="32"/>
          <w:szCs w:val="32"/>
        </w:rPr>
        <w:t>市商务主管部门会同相关部门原则上每</w:t>
      </w:r>
      <w:r>
        <w:rPr>
          <w:rFonts w:ascii="Times New Roman" w:hAnsi="Times New Roman" w:eastAsia="方正仿宋_GBK" w:cs="Times New Roman"/>
          <w:color w:val="000000"/>
          <w:sz w:val="32"/>
          <w:szCs w:val="32"/>
        </w:rPr>
        <w:t>3</w:t>
      </w:r>
      <w:r>
        <w:rPr>
          <w:rFonts w:hint="eastAsia" w:ascii="方正仿宋_GBK" w:hAnsi="宋体" w:eastAsia="方正仿宋_GBK" w:cs="宋体"/>
          <w:color w:val="000000"/>
          <w:sz w:val="32"/>
          <w:szCs w:val="32"/>
        </w:rPr>
        <w:t>年公布新一批次南京老字号名录。南京老字号申报工作安排由市商务主管部门会同相关部门发布通知。</w:t>
      </w:r>
    </w:p>
    <w:p>
      <w:pPr>
        <w:snapToGrid w:val="0"/>
        <w:spacing w:line="580" w:lineRule="exact"/>
        <w:ind w:firstLine="640" w:firstLineChars="200"/>
        <w:rPr>
          <w:rFonts w:ascii="方正仿宋_GBK" w:hAnsi="宋体" w:eastAsia="方正仿宋_GBK" w:cs="宋体"/>
          <w:sz w:val="32"/>
          <w:szCs w:val="32"/>
        </w:rPr>
      </w:pPr>
      <w:r>
        <w:rPr>
          <w:rFonts w:hint="eastAsia" w:ascii="方正黑体_GBK" w:hAnsi="宋体" w:eastAsia="方正黑体_GBK" w:cs="宋体"/>
          <w:sz w:val="32"/>
          <w:szCs w:val="32"/>
        </w:rPr>
        <w:t xml:space="preserve">第十一条  </w:t>
      </w:r>
      <w:r>
        <w:rPr>
          <w:rFonts w:hint="eastAsia" w:ascii="方正仿宋_GBK" w:hAnsi="宋体" w:eastAsia="方正仿宋_GBK" w:cs="宋体"/>
          <w:sz w:val="32"/>
          <w:szCs w:val="32"/>
        </w:rPr>
        <w:t>符合本办法</w:t>
      </w:r>
      <w:r>
        <w:rPr>
          <w:rFonts w:hint="eastAsia" w:ascii="方正仿宋_GBK" w:hAnsi="方正仿宋_GBK" w:eastAsia="方正仿宋_GBK" w:cs="方正仿宋_GBK"/>
          <w:b/>
          <w:bCs/>
          <w:color w:val="000000"/>
          <w:sz w:val="32"/>
          <w:szCs w:val="32"/>
        </w:rPr>
        <w:t>第八条、第九条</w:t>
      </w:r>
      <w:r>
        <w:rPr>
          <w:rFonts w:hint="eastAsia" w:ascii="方正仿宋_GBK" w:hAnsi="宋体" w:eastAsia="方正仿宋_GBK" w:cs="宋体"/>
          <w:sz w:val="32"/>
          <w:szCs w:val="32"/>
        </w:rPr>
        <w:t>规定条件的企业应在规定的日期内按照要求提交申报材料，具体包括：</w:t>
      </w:r>
    </w:p>
    <w:p>
      <w:pPr>
        <w:snapToGrid w:val="0"/>
        <w:spacing w:line="58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（一）</w:t>
      </w:r>
      <w:r>
        <w:rPr>
          <w:rFonts w:hint="eastAsia" w:ascii="方正仿宋_GBK" w:eastAsia="方正仿宋_GBK"/>
          <w:sz w:val="32"/>
          <w:szCs w:val="32"/>
        </w:rPr>
        <w:tab/>
      </w:r>
      <w:r>
        <w:rPr>
          <w:rFonts w:hint="eastAsia" w:ascii="方正仿宋_GBK" w:hAnsi="宋体" w:eastAsia="方正仿宋_GBK" w:cs="宋体"/>
          <w:sz w:val="32"/>
          <w:szCs w:val="32"/>
        </w:rPr>
        <w:t>企业基本信息、股权结构及</w:t>
      </w:r>
      <w:r>
        <w:rPr>
          <w:rFonts w:ascii="Times New Roman" w:hAnsi="Times New Roman" w:eastAsia="方正仿宋_GBK" w:cs="Times New Roman"/>
          <w:sz w:val="32"/>
          <w:szCs w:val="32"/>
        </w:rPr>
        <w:t>近3年</w:t>
      </w:r>
      <w:r>
        <w:rPr>
          <w:rFonts w:hint="eastAsia" w:ascii="方正仿宋_GBK" w:hAnsi="宋体" w:eastAsia="方正仿宋_GBK" w:cs="宋体"/>
          <w:sz w:val="32"/>
          <w:szCs w:val="32"/>
        </w:rPr>
        <w:t>经营情况；</w:t>
      </w:r>
    </w:p>
    <w:p>
      <w:pPr>
        <w:snapToGrid w:val="0"/>
        <w:spacing w:line="58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（二）</w:t>
      </w:r>
      <w:r>
        <w:rPr>
          <w:rFonts w:hint="eastAsia" w:ascii="方正仿宋_GBK" w:eastAsia="方正仿宋_GBK"/>
          <w:sz w:val="32"/>
          <w:szCs w:val="32"/>
        </w:rPr>
        <w:tab/>
      </w:r>
      <w:r>
        <w:rPr>
          <w:rFonts w:hint="eastAsia" w:ascii="方正仿宋_GBK" w:hAnsi="宋体" w:eastAsia="方正仿宋_GBK" w:cs="宋体"/>
          <w:sz w:val="32"/>
          <w:szCs w:val="32"/>
        </w:rPr>
        <w:t>品牌创立时间的证明材料；</w:t>
      </w:r>
      <w:bookmarkStart w:id="8" w:name="bookmark22"/>
    </w:p>
    <w:bookmarkEnd w:id="8"/>
    <w:p>
      <w:pPr>
        <w:snapToGrid w:val="0"/>
        <w:spacing w:line="580" w:lineRule="exact"/>
        <w:ind w:firstLine="640" w:firstLineChars="200"/>
        <w:rPr>
          <w:rFonts w:ascii="方正仿宋_GBK" w:eastAsia="方正仿宋_GBK"/>
          <w:sz w:val="32"/>
          <w:szCs w:val="32"/>
        </w:rPr>
      </w:pPr>
      <w:r>
        <w:rPr>
          <w:rFonts w:hint="eastAsia" w:ascii="方正仿宋_GBK" w:hAnsi="宋体" w:eastAsia="方正仿宋_GBK" w:cs="宋体"/>
          <w:sz w:val="32"/>
          <w:szCs w:val="32"/>
        </w:rPr>
        <w:t>（三）</w:t>
      </w:r>
      <w:r>
        <w:rPr>
          <w:rFonts w:hint="eastAsia" w:ascii="方正仿宋_GBK" w:eastAsia="方正仿宋_GBK"/>
          <w:sz w:val="32"/>
          <w:szCs w:val="32"/>
        </w:rPr>
        <w:tab/>
      </w:r>
      <w:r>
        <w:rPr>
          <w:rFonts w:hint="eastAsia" w:ascii="方正仿宋_GBK" w:hAnsi="宋体" w:eastAsia="方正仿宋_GBK" w:cs="宋体"/>
          <w:sz w:val="32"/>
          <w:szCs w:val="32"/>
        </w:rPr>
        <w:t>老字号注册商标的权属证明文件，如拥有注册商标独占许可使用权的，还应提供独占使用许可合同；</w:t>
      </w:r>
    </w:p>
    <w:p>
      <w:pPr>
        <w:snapToGrid w:val="0"/>
        <w:spacing w:line="58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（四）</w:t>
      </w:r>
      <w:r>
        <w:rPr>
          <w:rFonts w:hint="eastAsia" w:ascii="方正仿宋_GBK" w:eastAsia="方正仿宋_GBK"/>
          <w:sz w:val="32"/>
          <w:szCs w:val="32"/>
        </w:rPr>
        <w:tab/>
      </w:r>
      <w:r>
        <w:rPr>
          <w:rFonts w:hint="eastAsia" w:ascii="方正仿宋_GBK" w:hAnsi="宋体" w:eastAsia="方正仿宋_GBK" w:cs="宋体"/>
          <w:sz w:val="32"/>
          <w:szCs w:val="32"/>
        </w:rPr>
        <w:t>主营业务传承脉络清晰的证明材料；</w:t>
      </w:r>
      <w:bookmarkStart w:id="9" w:name="bookmark24"/>
    </w:p>
    <w:bookmarkEnd w:id="9"/>
    <w:p>
      <w:pPr>
        <w:snapToGrid w:val="0"/>
        <w:spacing w:line="58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（五）品牌历史价值和文化价值的介绍材料；</w:t>
      </w:r>
      <w:bookmarkStart w:id="10" w:name="bookmark25"/>
    </w:p>
    <w:bookmarkEnd w:id="10"/>
    <w:p>
      <w:pPr>
        <w:snapToGrid w:val="0"/>
        <w:spacing w:line="580" w:lineRule="exact"/>
        <w:ind w:firstLine="640" w:firstLineChars="200"/>
        <w:rPr>
          <w:rFonts w:ascii="方正仿宋_GBK" w:eastAsia="方正仿宋_GBK"/>
          <w:sz w:val="32"/>
          <w:szCs w:val="32"/>
        </w:rPr>
      </w:pPr>
      <w:r>
        <w:rPr>
          <w:rFonts w:hint="eastAsia" w:ascii="方正仿宋_GBK" w:hAnsi="宋体" w:eastAsia="方正仿宋_GBK" w:cs="宋体"/>
          <w:sz w:val="32"/>
          <w:szCs w:val="32"/>
        </w:rPr>
        <w:t>（六）</w:t>
      </w:r>
      <w:r>
        <w:rPr>
          <w:rFonts w:hint="eastAsia" w:ascii="方正仿宋_GBK" w:eastAsia="方正仿宋_GBK"/>
          <w:sz w:val="32"/>
          <w:szCs w:val="32"/>
        </w:rPr>
        <w:tab/>
      </w:r>
      <w:r>
        <w:rPr>
          <w:rFonts w:hint="eastAsia" w:ascii="方正仿宋_GBK" w:hAnsi="宋体" w:eastAsia="方正仿宋_GBK" w:cs="宋体"/>
          <w:sz w:val="32"/>
          <w:szCs w:val="32"/>
        </w:rPr>
        <w:t>企业在设计研发、工艺技术、产品服务和经营理念、营销渠道、管理模式等方面创新发展的介绍材料；</w:t>
      </w:r>
    </w:p>
    <w:p>
      <w:pPr>
        <w:snapToGrid w:val="0"/>
        <w:spacing w:line="58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（七）</w:t>
      </w:r>
      <w:r>
        <w:rPr>
          <w:rFonts w:hint="eastAsia" w:ascii="方正仿宋_GBK" w:eastAsia="方正仿宋_GBK"/>
          <w:sz w:val="32"/>
          <w:szCs w:val="32"/>
        </w:rPr>
        <w:tab/>
      </w:r>
      <w:r>
        <w:rPr>
          <w:rFonts w:hint="eastAsia" w:ascii="方正仿宋_GBK" w:hAnsi="宋体" w:eastAsia="方正仿宋_GBK" w:cs="宋体"/>
          <w:sz w:val="32"/>
          <w:szCs w:val="32"/>
        </w:rPr>
        <w:t>企业文化的介绍材料和获得荣誉的证明材料；</w:t>
      </w:r>
      <w:bookmarkStart w:id="11" w:name="bookmark27"/>
    </w:p>
    <w:bookmarkEnd w:id="11"/>
    <w:p>
      <w:pPr>
        <w:snapToGrid w:val="0"/>
        <w:spacing w:line="580" w:lineRule="exact"/>
        <w:ind w:firstLine="640" w:firstLineChars="200"/>
        <w:rPr>
          <w:rFonts w:ascii="方正仿宋_GBK" w:eastAsia="方正仿宋_GBK"/>
          <w:sz w:val="32"/>
          <w:szCs w:val="32"/>
        </w:rPr>
      </w:pPr>
      <w:r>
        <w:rPr>
          <w:rFonts w:hint="eastAsia" w:ascii="方正仿宋_GBK" w:hAnsi="宋体" w:eastAsia="方正仿宋_GBK" w:cs="宋体"/>
          <w:sz w:val="32"/>
          <w:szCs w:val="32"/>
        </w:rPr>
        <w:t>（八）</w:t>
      </w:r>
      <w:r>
        <w:rPr>
          <w:rFonts w:hint="eastAsia" w:ascii="方正仿宋_GBK" w:eastAsia="方正仿宋_GBK"/>
          <w:sz w:val="32"/>
          <w:szCs w:val="32"/>
        </w:rPr>
        <w:tab/>
      </w:r>
      <w:r>
        <w:rPr>
          <w:rFonts w:hint="eastAsia" w:ascii="方正仿宋_GBK" w:hAnsi="宋体" w:eastAsia="方正仿宋_GBK" w:cs="宋体"/>
          <w:sz w:val="32"/>
          <w:szCs w:val="32"/>
        </w:rPr>
        <w:t>针对上述材料并经法定代表人或负责人签字的真实性承诺；</w:t>
      </w:r>
    </w:p>
    <w:p>
      <w:pPr>
        <w:snapToGrid w:val="0"/>
        <w:spacing w:line="58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（九）商务主管部门和相关部门认为应当提交的其他相关材料。</w:t>
      </w:r>
    </w:p>
    <w:p>
      <w:pPr>
        <w:snapToGrid w:val="0"/>
        <w:spacing w:line="58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上述申报材料应当真实、有效、完整，其中能够通过政府信息系统获取的，相关部门可不再要求企业提供。</w:t>
      </w:r>
    </w:p>
    <w:p>
      <w:pPr>
        <w:snapToGrid w:val="0"/>
        <w:spacing w:line="580" w:lineRule="exact"/>
        <w:ind w:firstLine="640" w:firstLineChars="200"/>
        <w:rPr>
          <w:rFonts w:ascii="方正仿宋_GBK" w:hAnsi="宋体" w:eastAsia="方正仿宋_GBK" w:cs="宋体"/>
          <w:sz w:val="32"/>
          <w:szCs w:val="32"/>
        </w:rPr>
      </w:pPr>
      <w:r>
        <w:rPr>
          <w:rFonts w:hint="eastAsia" w:ascii="方正黑体_GBK" w:hAnsi="宋体" w:eastAsia="方正黑体_GBK" w:cs="宋体"/>
          <w:sz w:val="32"/>
          <w:szCs w:val="32"/>
        </w:rPr>
        <w:t xml:space="preserve">第十二条  </w:t>
      </w:r>
      <w:r>
        <w:rPr>
          <w:rFonts w:hint="eastAsia" w:ascii="方正仿宋_GBK" w:hAnsi="宋体" w:eastAsia="方正仿宋_GBK" w:cs="宋体"/>
          <w:sz w:val="32"/>
          <w:szCs w:val="32"/>
        </w:rPr>
        <w:t>区级商务主管部门会同同级相关部门组织对企业申报材料的真实性、有效性、完整性进行研究论证、审核。</w:t>
      </w:r>
    </w:p>
    <w:p>
      <w:pPr>
        <w:snapToGrid w:val="0"/>
        <w:spacing w:line="580" w:lineRule="exact"/>
        <w:ind w:firstLine="640" w:firstLineChars="200"/>
        <w:rPr>
          <w:rFonts w:ascii="方正仿宋_GBK" w:hAnsi="宋体" w:eastAsia="方正仿宋_GBK" w:cs="宋体"/>
          <w:color w:val="000000"/>
          <w:sz w:val="32"/>
          <w:szCs w:val="32"/>
        </w:rPr>
      </w:pPr>
      <w:r>
        <w:rPr>
          <w:rFonts w:hint="eastAsia" w:ascii="方正仿宋_GBK" w:hAnsi="宋体" w:eastAsia="方正仿宋_GBK" w:cs="宋体"/>
          <w:color w:val="000000"/>
          <w:sz w:val="32"/>
          <w:szCs w:val="32"/>
        </w:rPr>
        <w:t>推荐名单应当对外公示，且公示期不少于</w:t>
      </w:r>
      <w:r>
        <w:rPr>
          <w:rFonts w:ascii="Times New Roman" w:hAnsi="Times New Roman" w:eastAsia="方正仿宋_GBK" w:cs="Times New Roman"/>
          <w:color w:val="000000"/>
          <w:sz w:val="32"/>
          <w:szCs w:val="32"/>
        </w:rPr>
        <w:t>5</w:t>
      </w:r>
      <w:r>
        <w:rPr>
          <w:rFonts w:hint="eastAsia" w:ascii="方正仿宋_GBK" w:hAnsi="宋体" w:eastAsia="方正仿宋_GBK" w:cs="宋体"/>
          <w:color w:val="000000"/>
          <w:sz w:val="32"/>
          <w:szCs w:val="32"/>
        </w:rPr>
        <w:t>个工作日。公示期满无异议或异议不成立的，由区级商务主管部门向市</w:t>
      </w:r>
      <w:r>
        <w:rPr>
          <w:rFonts w:hint="eastAsia" w:ascii="方正仿宋_GBK" w:hAnsi="宋体" w:eastAsia="方正仿宋_GBK" w:cs="宋体"/>
          <w:color w:val="000000"/>
          <w:sz w:val="32"/>
          <w:szCs w:val="32"/>
          <w:lang w:eastAsia="zh-CN"/>
        </w:rPr>
        <w:t>级</w:t>
      </w:r>
      <w:r>
        <w:rPr>
          <w:rFonts w:hint="eastAsia" w:ascii="方正仿宋_GBK" w:hAnsi="宋体" w:eastAsia="方正仿宋_GBK" w:cs="宋体"/>
          <w:color w:val="000000"/>
          <w:sz w:val="32"/>
          <w:szCs w:val="32"/>
        </w:rPr>
        <w:t>商务主管部门提出推荐意见并上报申报材料。</w:t>
      </w:r>
    </w:p>
    <w:p>
      <w:pPr>
        <w:snapToGrid w:val="0"/>
        <w:spacing w:line="580" w:lineRule="exact"/>
        <w:ind w:firstLine="640" w:firstLineChars="200"/>
        <w:rPr>
          <w:rFonts w:ascii="方正仿宋_GBK" w:hAnsi="宋体" w:eastAsia="方正仿宋_GBK" w:cs="宋体"/>
          <w:color w:val="000000"/>
          <w:sz w:val="32"/>
          <w:szCs w:val="32"/>
        </w:rPr>
      </w:pPr>
      <w:r>
        <w:rPr>
          <w:rFonts w:hint="eastAsia" w:ascii="方正黑体_GBK" w:hAnsi="宋体" w:eastAsia="方正黑体_GBK" w:cs="宋体"/>
          <w:color w:val="000000"/>
          <w:sz w:val="32"/>
          <w:szCs w:val="32"/>
        </w:rPr>
        <w:t xml:space="preserve">第十三条  </w:t>
      </w:r>
      <w:r>
        <w:rPr>
          <w:rFonts w:hint="eastAsia" w:ascii="方正仿宋_GBK" w:hAnsi="宋体" w:eastAsia="方正仿宋_GBK" w:cs="宋体"/>
          <w:color w:val="000000"/>
          <w:sz w:val="32"/>
          <w:szCs w:val="32"/>
        </w:rPr>
        <w:t>市</w:t>
      </w:r>
      <w:r>
        <w:rPr>
          <w:rFonts w:hint="eastAsia" w:ascii="方正仿宋_GBK" w:hAnsi="宋体" w:eastAsia="方正仿宋_GBK" w:cs="宋体"/>
          <w:color w:val="000000"/>
          <w:sz w:val="32"/>
          <w:szCs w:val="32"/>
          <w:lang w:eastAsia="zh-CN"/>
        </w:rPr>
        <w:t>级</w:t>
      </w:r>
      <w:r>
        <w:rPr>
          <w:rFonts w:hint="eastAsia" w:ascii="方正仿宋_GBK" w:hAnsi="宋体" w:eastAsia="方正仿宋_GBK" w:cs="宋体"/>
          <w:color w:val="000000"/>
          <w:sz w:val="32"/>
          <w:szCs w:val="32"/>
        </w:rPr>
        <w:t>商务主管部门会同相关部门组织专家按照公平、公正</w:t>
      </w:r>
      <w:r>
        <w:rPr>
          <w:rFonts w:hint="eastAsia" w:ascii="方正仿宋_GBK" w:hAnsi="宋体" w:eastAsia="方正仿宋_GBK" w:cs="宋体"/>
          <w:color w:val="000000"/>
          <w:sz w:val="32"/>
          <w:szCs w:val="32"/>
          <w:lang w:eastAsia="zh-CN"/>
        </w:rPr>
        <w:t>、</w:t>
      </w:r>
      <w:r>
        <w:rPr>
          <w:rFonts w:hint="eastAsia" w:ascii="方正仿宋_GBK" w:hAnsi="宋体" w:eastAsia="方正仿宋_GBK" w:cs="宋体"/>
          <w:color w:val="000000"/>
          <w:sz w:val="32"/>
          <w:szCs w:val="32"/>
        </w:rPr>
        <w:t>科学的原则，对各区</w:t>
      </w:r>
      <w:r>
        <w:rPr>
          <w:rFonts w:hint="eastAsia" w:ascii="方正仿宋_GBK" w:hAnsi="宋体" w:eastAsia="方正仿宋_GBK" w:cs="宋体"/>
          <w:color w:val="000000"/>
          <w:sz w:val="32"/>
          <w:szCs w:val="32"/>
          <w:lang w:eastAsia="zh-CN"/>
        </w:rPr>
        <w:t>级商务部门</w:t>
      </w:r>
      <w:r>
        <w:rPr>
          <w:rFonts w:hint="eastAsia" w:ascii="方正仿宋_GBK" w:hAnsi="宋体" w:eastAsia="方正仿宋_GBK" w:cs="宋体"/>
          <w:color w:val="000000"/>
          <w:sz w:val="32"/>
          <w:szCs w:val="32"/>
        </w:rPr>
        <w:t>推荐的企业进行评议，择优提出拟列入名录的南京老字号及其所属企业。</w:t>
      </w:r>
    </w:p>
    <w:p>
      <w:pPr>
        <w:snapToGrid w:val="0"/>
        <w:spacing w:line="580" w:lineRule="exact"/>
        <w:ind w:firstLine="640" w:firstLineChars="200"/>
        <w:rPr>
          <w:rFonts w:ascii="方正仿宋_GBK" w:hAnsi="宋体" w:eastAsia="方正仿宋_GBK" w:cs="宋体"/>
          <w:sz w:val="32"/>
          <w:szCs w:val="32"/>
        </w:rPr>
      </w:pPr>
      <w:r>
        <w:rPr>
          <w:rFonts w:hint="eastAsia" w:ascii="方正仿宋_GBK" w:hAnsi="宋体" w:eastAsia="方正仿宋_GBK" w:cs="宋体"/>
          <w:sz w:val="32"/>
          <w:szCs w:val="32"/>
        </w:rPr>
        <w:t>参与评议的专家可根据需要或委托有关机构采取材料审查、现场调查、查阅档案等形式进行审查。</w:t>
      </w:r>
    </w:p>
    <w:p>
      <w:pPr>
        <w:snapToGrid w:val="0"/>
        <w:spacing w:line="58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黑体_GBK" w:cs="Times New Roman"/>
          <w:color w:val="000000"/>
          <w:sz w:val="32"/>
          <w:szCs w:val="32"/>
        </w:rPr>
        <w:t xml:space="preserve">第十四条  </w:t>
      </w:r>
      <w:r>
        <w:rPr>
          <w:rFonts w:ascii="Times New Roman" w:hAnsi="Times New Roman" w:eastAsia="方正仿宋_GBK" w:cs="Times New Roman"/>
          <w:color w:val="000000"/>
          <w:sz w:val="32"/>
          <w:szCs w:val="32"/>
        </w:rPr>
        <w:t>市</w:t>
      </w:r>
      <w:r>
        <w:rPr>
          <w:rFonts w:hint="eastAsia" w:ascii="Times New Roman" w:hAnsi="Times New Roman" w:eastAsia="方正仿宋_GBK" w:cs="Times New Roman"/>
          <w:color w:val="000000"/>
          <w:sz w:val="32"/>
          <w:szCs w:val="32"/>
          <w:lang w:eastAsia="zh-CN"/>
        </w:rPr>
        <w:t>级</w:t>
      </w:r>
      <w:r>
        <w:rPr>
          <w:rFonts w:ascii="Times New Roman" w:hAnsi="Times New Roman" w:eastAsia="方正仿宋_GBK" w:cs="Times New Roman"/>
          <w:color w:val="000000"/>
          <w:sz w:val="32"/>
          <w:szCs w:val="32"/>
        </w:rPr>
        <w:t>商务主管部门对拟列入名录的南京老字号及其所属企业相关信息进行公示，公示期不少于10个工作日。任何单位或个人对名单有不同意见的，均可向市</w:t>
      </w:r>
      <w:r>
        <w:rPr>
          <w:rFonts w:hint="eastAsia" w:ascii="Times New Roman" w:hAnsi="Times New Roman" w:eastAsia="方正仿宋_GBK" w:cs="Times New Roman"/>
          <w:color w:val="000000"/>
          <w:sz w:val="32"/>
          <w:szCs w:val="32"/>
          <w:lang w:eastAsia="zh-CN"/>
        </w:rPr>
        <w:t>级</w:t>
      </w:r>
      <w:r>
        <w:rPr>
          <w:rFonts w:ascii="Times New Roman" w:hAnsi="Times New Roman" w:eastAsia="方正仿宋_GBK" w:cs="Times New Roman"/>
          <w:color w:val="000000"/>
          <w:sz w:val="32"/>
          <w:szCs w:val="32"/>
        </w:rPr>
        <w:t>商务主管部门提出异议，并提供详实的书面举证材料。</w:t>
      </w:r>
    </w:p>
    <w:p>
      <w:pPr>
        <w:snapToGrid w:val="0"/>
        <w:spacing w:line="580" w:lineRule="exact"/>
        <w:ind w:firstLine="640" w:firstLineChars="200"/>
        <w:rPr>
          <w:rFonts w:ascii="方正仿宋_GBK" w:eastAsia="方正仿宋_GBK"/>
          <w:color w:val="000000"/>
          <w:sz w:val="32"/>
          <w:szCs w:val="32"/>
        </w:rPr>
      </w:pPr>
      <w:r>
        <w:rPr>
          <w:rFonts w:hint="eastAsia" w:ascii="方正仿宋_GBK" w:hAnsi="宋体" w:eastAsia="方正仿宋_GBK" w:cs="宋体"/>
          <w:color w:val="000000"/>
          <w:sz w:val="32"/>
          <w:szCs w:val="32"/>
        </w:rPr>
        <w:t>市</w:t>
      </w:r>
      <w:r>
        <w:rPr>
          <w:rFonts w:hint="eastAsia" w:ascii="方正仿宋_GBK" w:hAnsi="宋体" w:eastAsia="方正仿宋_GBK" w:cs="宋体"/>
          <w:color w:val="000000"/>
          <w:sz w:val="32"/>
          <w:szCs w:val="32"/>
          <w:lang w:eastAsia="zh-CN"/>
        </w:rPr>
        <w:t>级</w:t>
      </w:r>
      <w:r>
        <w:rPr>
          <w:rFonts w:hint="eastAsia" w:ascii="方正仿宋_GBK" w:hAnsi="宋体" w:eastAsia="方正仿宋_GBK" w:cs="宋体"/>
          <w:color w:val="000000"/>
          <w:sz w:val="32"/>
          <w:szCs w:val="32"/>
        </w:rPr>
        <w:t>商务主管部门在接到异议后会同相关部门组织专家对异议情况进行核实。如存在较大争议，可视情召开听证会。</w:t>
      </w:r>
    </w:p>
    <w:p>
      <w:pPr>
        <w:snapToGrid w:val="0"/>
        <w:spacing w:line="580" w:lineRule="exact"/>
        <w:ind w:firstLine="640" w:firstLineChars="200"/>
        <w:rPr>
          <w:rFonts w:ascii="方正仿宋_GBK" w:eastAsia="方正仿宋_GBK"/>
          <w:color w:val="000000"/>
          <w:sz w:val="32"/>
          <w:szCs w:val="32"/>
        </w:rPr>
      </w:pPr>
      <w:r>
        <w:rPr>
          <w:rFonts w:hint="eastAsia" w:ascii="方正黑体_GBK" w:hAnsi="宋体" w:eastAsia="方正黑体_GBK" w:cs="宋体"/>
          <w:color w:val="000000"/>
          <w:sz w:val="32"/>
          <w:szCs w:val="32"/>
        </w:rPr>
        <w:t xml:space="preserve">第十五条  </w:t>
      </w:r>
      <w:r>
        <w:rPr>
          <w:rFonts w:hint="eastAsia" w:ascii="方正仿宋_GBK" w:hAnsi="宋体" w:eastAsia="方正仿宋_GBK" w:cs="宋体"/>
          <w:color w:val="000000"/>
          <w:sz w:val="32"/>
          <w:szCs w:val="32"/>
        </w:rPr>
        <w:t>在公示期间无异议或异议不成立的，由市</w:t>
      </w:r>
      <w:r>
        <w:rPr>
          <w:rFonts w:hint="eastAsia" w:ascii="方正仿宋_GBK" w:hAnsi="宋体" w:eastAsia="方正仿宋_GBK" w:cs="宋体"/>
          <w:color w:val="000000"/>
          <w:sz w:val="32"/>
          <w:szCs w:val="32"/>
          <w:lang w:eastAsia="zh-CN"/>
        </w:rPr>
        <w:t>级</w:t>
      </w:r>
      <w:r>
        <w:rPr>
          <w:rFonts w:hint="eastAsia" w:ascii="方正仿宋_GBK" w:hAnsi="宋体" w:eastAsia="方正仿宋_GBK" w:cs="宋体"/>
          <w:color w:val="000000"/>
          <w:sz w:val="32"/>
          <w:szCs w:val="32"/>
        </w:rPr>
        <w:t>商务主管部门会同相关部门列入南京老字号名录并向社会公布，由市</w:t>
      </w:r>
      <w:r>
        <w:rPr>
          <w:rFonts w:hint="eastAsia" w:ascii="方正仿宋_GBK" w:hAnsi="宋体" w:eastAsia="方正仿宋_GBK" w:cs="宋体"/>
          <w:color w:val="000000"/>
          <w:sz w:val="32"/>
          <w:szCs w:val="32"/>
          <w:lang w:eastAsia="zh-CN"/>
        </w:rPr>
        <w:t>级</w:t>
      </w:r>
      <w:r>
        <w:rPr>
          <w:rFonts w:hint="eastAsia" w:ascii="方正仿宋_GBK" w:hAnsi="宋体" w:eastAsia="方正仿宋_GBK" w:cs="宋体"/>
          <w:color w:val="000000"/>
          <w:sz w:val="32"/>
          <w:szCs w:val="32"/>
        </w:rPr>
        <w:t>商务主管部门依据本办法授予南京老字号标识使用权、颁发南京老字号牌匾。</w:t>
      </w:r>
    </w:p>
    <w:p>
      <w:pPr>
        <w:snapToGrid w:val="0"/>
        <w:spacing w:line="580" w:lineRule="exact"/>
        <w:ind w:firstLine="640" w:firstLineChars="200"/>
        <w:rPr>
          <w:rFonts w:ascii="方正仿宋_GBK" w:eastAsia="方正仿宋_GBK"/>
          <w:color w:val="000000"/>
          <w:sz w:val="32"/>
          <w:szCs w:val="32"/>
        </w:rPr>
      </w:pPr>
      <w:r>
        <w:rPr>
          <w:rFonts w:hint="eastAsia" w:ascii="方正黑体_GBK" w:hAnsi="宋体" w:eastAsia="方正黑体_GBK" w:cs="宋体"/>
          <w:color w:val="000000"/>
          <w:sz w:val="32"/>
          <w:szCs w:val="32"/>
        </w:rPr>
        <w:t xml:space="preserve">第十六条  </w:t>
      </w:r>
      <w:r>
        <w:rPr>
          <w:rFonts w:hint="eastAsia" w:ascii="方正仿宋_GBK" w:hAnsi="宋体" w:eastAsia="方正仿宋_GBK" w:cs="宋体"/>
          <w:color w:val="000000"/>
          <w:sz w:val="32"/>
          <w:szCs w:val="32"/>
        </w:rPr>
        <w:t>南京老字号标识属市</w:t>
      </w:r>
      <w:r>
        <w:rPr>
          <w:rFonts w:hint="eastAsia" w:ascii="方正仿宋_GBK" w:hAnsi="宋体" w:eastAsia="方正仿宋_GBK" w:cs="宋体"/>
          <w:color w:val="000000"/>
          <w:sz w:val="32"/>
          <w:szCs w:val="32"/>
          <w:lang w:eastAsia="zh-CN"/>
        </w:rPr>
        <w:t>级</w:t>
      </w:r>
      <w:r>
        <w:rPr>
          <w:rFonts w:hint="eastAsia" w:ascii="方正仿宋_GBK" w:hAnsi="宋体" w:eastAsia="方正仿宋_GBK" w:cs="宋体"/>
          <w:color w:val="000000"/>
          <w:sz w:val="32"/>
          <w:szCs w:val="32"/>
        </w:rPr>
        <w:t>商务主管部门标志，南京老字号企业可依据《南京老字号标识和牌匾使用规定》（附件），使用南京老字号标识和牌匾。</w:t>
      </w:r>
    </w:p>
    <w:p>
      <w:pPr>
        <w:snapToGrid w:val="0"/>
        <w:spacing w:line="580" w:lineRule="exact"/>
        <w:rPr>
          <w:rFonts w:ascii="方正黑体_GBK" w:hAnsi="宋体" w:eastAsia="方正黑体_GBK" w:cs="宋体"/>
          <w:sz w:val="32"/>
          <w:szCs w:val="32"/>
        </w:rPr>
      </w:pPr>
    </w:p>
    <w:p>
      <w:pPr>
        <w:snapToGrid w:val="0"/>
        <w:spacing w:line="580" w:lineRule="exact"/>
        <w:jc w:val="center"/>
        <w:rPr>
          <w:rFonts w:ascii="方正黑体_GBK" w:hAnsi="宋体" w:eastAsia="方正黑体_GBK" w:cs="宋体"/>
          <w:sz w:val="32"/>
          <w:szCs w:val="32"/>
        </w:rPr>
      </w:pPr>
      <w:r>
        <w:rPr>
          <w:rFonts w:hint="eastAsia" w:ascii="方正黑体_GBK" w:hAnsi="宋体" w:eastAsia="方正黑体_GBK" w:cs="宋体"/>
          <w:sz w:val="32"/>
          <w:szCs w:val="32"/>
        </w:rPr>
        <w:t>第四章  动态管理</w:t>
      </w:r>
    </w:p>
    <w:p>
      <w:pPr>
        <w:snapToGrid w:val="0"/>
        <w:spacing w:line="580" w:lineRule="exact"/>
        <w:jc w:val="center"/>
        <w:rPr>
          <w:rFonts w:ascii="方正黑体_GBK" w:hAnsi="宋体" w:eastAsia="方正黑体_GBK" w:cs="宋体"/>
          <w:sz w:val="32"/>
          <w:szCs w:val="32"/>
        </w:rPr>
      </w:pPr>
    </w:p>
    <w:p>
      <w:pPr>
        <w:snapToGrid w:val="0"/>
        <w:spacing w:line="580" w:lineRule="exact"/>
        <w:ind w:firstLine="640" w:firstLineChars="200"/>
        <w:rPr>
          <w:rFonts w:ascii="方正仿宋_GBK" w:hAnsi="宋体" w:eastAsia="方正仿宋_GBK" w:cs="宋体"/>
          <w:color w:val="000000"/>
          <w:sz w:val="32"/>
          <w:szCs w:val="32"/>
        </w:rPr>
      </w:pPr>
      <w:r>
        <w:rPr>
          <w:rFonts w:hint="eastAsia" w:ascii="方正黑体_GBK" w:hAnsi="宋体" w:eastAsia="方正黑体_GBK" w:cs="宋体"/>
          <w:color w:val="000000"/>
          <w:sz w:val="32"/>
          <w:szCs w:val="32"/>
        </w:rPr>
        <w:t xml:space="preserve">第十七条  </w:t>
      </w:r>
      <w:r>
        <w:rPr>
          <w:rFonts w:hint="eastAsia" w:ascii="方正仿宋_GBK" w:hAnsi="宋体" w:eastAsia="方正仿宋_GBK" w:cs="宋体"/>
          <w:color w:val="000000"/>
          <w:sz w:val="32"/>
          <w:szCs w:val="32"/>
        </w:rPr>
        <w:t>南京老字号企业的企业名称或其商标发生以下变化的，应当自发生变化之日起</w:t>
      </w:r>
      <w:r>
        <w:rPr>
          <w:rFonts w:ascii="Times New Roman" w:hAnsi="Times New Roman" w:eastAsia="方正仿宋_GBK" w:cs="Times New Roman"/>
          <w:color w:val="000000"/>
          <w:sz w:val="32"/>
          <w:szCs w:val="32"/>
        </w:rPr>
        <w:t>30个工</w:t>
      </w:r>
      <w:r>
        <w:rPr>
          <w:rFonts w:hint="eastAsia" w:ascii="方正仿宋_GBK" w:hAnsi="宋体" w:eastAsia="方正仿宋_GBK" w:cs="宋体"/>
          <w:color w:val="000000"/>
          <w:sz w:val="32"/>
          <w:szCs w:val="32"/>
        </w:rPr>
        <w:t>作日之内向注册地区级商务主管部门提出申请，并详细说明发生变化的理由：</w:t>
      </w:r>
    </w:p>
    <w:p>
      <w:pPr>
        <w:snapToGrid w:val="0"/>
        <w:spacing w:line="580" w:lineRule="exact"/>
        <w:ind w:firstLine="640" w:firstLineChars="200"/>
        <w:rPr>
          <w:rFonts w:ascii="方正仿宋_GBK" w:eastAsia="方正仿宋_GBK"/>
          <w:color w:val="000000"/>
          <w:sz w:val="32"/>
          <w:szCs w:val="32"/>
        </w:rPr>
      </w:pPr>
      <w:r>
        <w:rPr>
          <w:rFonts w:hint="eastAsia" w:ascii="方正仿宋_GBK" w:hAnsi="宋体" w:eastAsia="方正仿宋_GBK" w:cs="宋体"/>
          <w:color w:val="000000"/>
          <w:sz w:val="32"/>
          <w:szCs w:val="32"/>
        </w:rPr>
        <w:t>（一）企业名称发生变化的；</w:t>
      </w:r>
    </w:p>
    <w:p>
      <w:pPr>
        <w:snapToGrid w:val="0"/>
        <w:spacing w:line="580" w:lineRule="exact"/>
        <w:ind w:firstLine="640" w:firstLineChars="200"/>
        <w:rPr>
          <w:rFonts w:ascii="方正仿宋_GBK" w:eastAsia="方正仿宋_GBK"/>
          <w:color w:val="000000"/>
          <w:sz w:val="32"/>
          <w:szCs w:val="32"/>
        </w:rPr>
      </w:pPr>
      <w:r>
        <w:rPr>
          <w:rFonts w:hint="eastAsia" w:ascii="方正仿宋_GBK" w:hAnsi="宋体" w:eastAsia="方正仿宋_GBK" w:cs="宋体"/>
          <w:color w:val="000000"/>
          <w:sz w:val="32"/>
          <w:szCs w:val="32"/>
        </w:rPr>
        <w:t>（二）在不丧失老字号注册商标独占许可使用权的前提下，该注册商标专用权发生转让的。</w:t>
      </w:r>
    </w:p>
    <w:p>
      <w:pPr>
        <w:snapToGrid w:val="0"/>
        <w:spacing w:line="580" w:lineRule="exact"/>
        <w:ind w:firstLine="640" w:firstLineChars="200"/>
        <w:rPr>
          <w:rFonts w:ascii="方正仿宋_GBK" w:eastAsia="方正仿宋_GBK"/>
          <w:color w:val="000000"/>
          <w:sz w:val="32"/>
          <w:szCs w:val="32"/>
        </w:rPr>
      </w:pPr>
      <w:r>
        <w:rPr>
          <w:rFonts w:hint="eastAsia" w:ascii="方正仿宋_GBK" w:hAnsi="宋体" w:eastAsia="方正仿宋_GBK" w:cs="宋体"/>
          <w:color w:val="000000"/>
          <w:sz w:val="32"/>
          <w:szCs w:val="32"/>
        </w:rPr>
        <w:t>区级商务主管部门在接到企业申请后，应按照南京老字号及南京老字号企业基本条件进行审核，提出审核意见报市</w:t>
      </w:r>
      <w:r>
        <w:rPr>
          <w:rFonts w:hint="eastAsia" w:ascii="方正仿宋_GBK" w:hAnsi="宋体" w:eastAsia="方正仿宋_GBK" w:cs="宋体"/>
          <w:color w:val="000000"/>
          <w:sz w:val="32"/>
          <w:szCs w:val="32"/>
          <w:lang w:eastAsia="zh-CN"/>
        </w:rPr>
        <w:t>级</w:t>
      </w:r>
      <w:r>
        <w:rPr>
          <w:rFonts w:hint="eastAsia" w:ascii="方正仿宋_GBK" w:hAnsi="宋体" w:eastAsia="方正仿宋_GBK" w:cs="宋体"/>
          <w:color w:val="000000"/>
          <w:sz w:val="32"/>
          <w:szCs w:val="32"/>
        </w:rPr>
        <w:t>商务主管部门。审核过程中可根据需要现场核实相关情况或要求企业补充提供相关材料，必要时向社会公示。</w:t>
      </w:r>
    </w:p>
    <w:p>
      <w:pPr>
        <w:snapToGrid w:val="0"/>
        <w:spacing w:line="580" w:lineRule="exact"/>
        <w:ind w:firstLine="640" w:firstLineChars="200"/>
        <w:rPr>
          <w:rFonts w:ascii="方正仿宋_GBK" w:eastAsia="方正仿宋_GBK"/>
          <w:color w:val="000000"/>
          <w:sz w:val="32"/>
          <w:szCs w:val="32"/>
        </w:rPr>
      </w:pPr>
      <w:r>
        <w:rPr>
          <w:rFonts w:hint="eastAsia" w:ascii="方正仿宋_GBK" w:hAnsi="宋体" w:eastAsia="方正仿宋_GBK" w:cs="宋体"/>
          <w:color w:val="000000"/>
          <w:sz w:val="32"/>
          <w:szCs w:val="32"/>
        </w:rPr>
        <w:t>市</w:t>
      </w:r>
      <w:r>
        <w:rPr>
          <w:rFonts w:hint="eastAsia" w:ascii="方正仿宋_GBK" w:hAnsi="宋体" w:eastAsia="方正仿宋_GBK" w:cs="宋体"/>
          <w:color w:val="000000"/>
          <w:sz w:val="32"/>
          <w:szCs w:val="32"/>
          <w:lang w:eastAsia="zh-CN"/>
        </w:rPr>
        <w:t>级</w:t>
      </w:r>
      <w:r>
        <w:rPr>
          <w:rFonts w:hint="eastAsia" w:ascii="方正仿宋_GBK" w:hAnsi="宋体" w:eastAsia="方正仿宋_GBK" w:cs="宋体"/>
          <w:color w:val="000000"/>
          <w:sz w:val="32"/>
          <w:szCs w:val="32"/>
        </w:rPr>
        <w:t>商务主管部门收到区级商务主管部门审核意见后进行复核，必要时商相关部门联合审核，并通过市</w:t>
      </w:r>
      <w:r>
        <w:rPr>
          <w:rFonts w:hint="eastAsia" w:ascii="方正仿宋_GBK" w:hAnsi="宋体" w:eastAsia="方正仿宋_GBK" w:cs="宋体"/>
          <w:color w:val="000000"/>
          <w:sz w:val="32"/>
          <w:szCs w:val="32"/>
          <w:lang w:eastAsia="zh-CN"/>
        </w:rPr>
        <w:t>级</w:t>
      </w:r>
      <w:r>
        <w:rPr>
          <w:rFonts w:hint="eastAsia" w:ascii="方正仿宋_GBK" w:hAnsi="宋体" w:eastAsia="方正仿宋_GBK" w:cs="宋体"/>
          <w:color w:val="000000"/>
          <w:sz w:val="32"/>
          <w:szCs w:val="32"/>
        </w:rPr>
        <w:t>商务主管部门网站公布复核通过的企业变更信息。</w:t>
      </w:r>
    </w:p>
    <w:p>
      <w:pPr>
        <w:snapToGrid w:val="0"/>
        <w:spacing w:line="58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黑体_GBK" w:cs="Times New Roman"/>
          <w:color w:val="000000"/>
          <w:sz w:val="32"/>
          <w:szCs w:val="32"/>
        </w:rPr>
        <w:t xml:space="preserve">第十八条  </w:t>
      </w:r>
      <w:r>
        <w:rPr>
          <w:rFonts w:ascii="Times New Roman" w:hAnsi="Times New Roman" w:eastAsia="方正仿宋_GBK" w:cs="Times New Roman"/>
          <w:color w:val="000000"/>
          <w:sz w:val="32"/>
          <w:szCs w:val="32"/>
        </w:rPr>
        <w:t>南京老字号企业应当于每年3月10日前向所在区商务主管部门提交上一年度经营情况。所在区商务主管部门于3月31日前汇总报市</w:t>
      </w:r>
      <w:r>
        <w:rPr>
          <w:rFonts w:hint="eastAsia" w:ascii="Times New Roman" w:hAnsi="Times New Roman" w:eastAsia="方正仿宋_GBK" w:cs="Times New Roman"/>
          <w:color w:val="000000"/>
          <w:sz w:val="32"/>
          <w:szCs w:val="32"/>
          <w:lang w:eastAsia="zh-CN"/>
        </w:rPr>
        <w:t>级</w:t>
      </w:r>
      <w:r>
        <w:rPr>
          <w:rFonts w:ascii="Times New Roman" w:hAnsi="Times New Roman" w:eastAsia="方正仿宋_GBK" w:cs="Times New Roman"/>
          <w:color w:val="000000"/>
          <w:sz w:val="32"/>
          <w:szCs w:val="32"/>
        </w:rPr>
        <w:t>商务主管部门（上市公司</w:t>
      </w:r>
      <w:r>
        <w:rPr>
          <w:rFonts w:hint="eastAsia" w:eastAsia="方正仿宋_GBK" w:cs="Times New Roman"/>
          <w:color w:val="000000"/>
          <w:sz w:val="32"/>
          <w:szCs w:val="32"/>
        </w:rPr>
        <w:t>应</w:t>
      </w:r>
      <w:r>
        <w:rPr>
          <w:rFonts w:ascii="Times New Roman" w:hAnsi="Times New Roman" w:eastAsia="方正仿宋_GBK" w:cs="Times New Roman"/>
          <w:color w:val="000000"/>
          <w:sz w:val="32"/>
          <w:szCs w:val="32"/>
        </w:rPr>
        <w:t>在年报公布后的10个工作日内报告情况）。</w:t>
      </w:r>
    </w:p>
    <w:p>
      <w:pPr>
        <w:snapToGrid w:val="0"/>
        <w:spacing w:line="580" w:lineRule="exact"/>
        <w:ind w:firstLine="640" w:firstLineChars="200"/>
        <w:rPr>
          <w:rFonts w:ascii="方正仿宋_GBK" w:hAnsi="宋体" w:eastAsia="方正仿宋_GBK" w:cs="宋体"/>
          <w:sz w:val="32"/>
          <w:szCs w:val="32"/>
          <w:highlight w:val="yellow"/>
        </w:rPr>
      </w:pPr>
      <w:r>
        <w:rPr>
          <w:rFonts w:hint="eastAsia" w:ascii="方正黑体_GBK" w:hAnsi="宋体" w:eastAsia="方正黑体_GBK" w:cs="宋体"/>
          <w:color w:val="000000"/>
          <w:sz w:val="32"/>
          <w:szCs w:val="32"/>
        </w:rPr>
        <w:t xml:space="preserve">第十九条  </w:t>
      </w:r>
      <w:r>
        <w:rPr>
          <w:rFonts w:hint="eastAsia" w:ascii="方正仿宋_GBK" w:hAnsi="宋体" w:eastAsia="方正仿宋_GBK" w:cs="宋体"/>
          <w:color w:val="000000"/>
          <w:sz w:val="32"/>
          <w:szCs w:val="32"/>
        </w:rPr>
        <w:t>市</w:t>
      </w:r>
      <w:r>
        <w:rPr>
          <w:rFonts w:hint="eastAsia" w:ascii="方正仿宋_GBK" w:hAnsi="宋体" w:eastAsia="方正仿宋_GBK" w:cs="宋体"/>
          <w:color w:val="000000"/>
          <w:sz w:val="32"/>
          <w:szCs w:val="32"/>
          <w:lang w:eastAsia="zh-CN"/>
        </w:rPr>
        <w:t>级</w:t>
      </w:r>
      <w:r>
        <w:rPr>
          <w:rFonts w:hint="eastAsia" w:ascii="方正仿宋_GBK" w:hAnsi="宋体" w:eastAsia="方正仿宋_GBK" w:cs="宋体"/>
          <w:color w:val="000000"/>
          <w:sz w:val="32"/>
          <w:szCs w:val="32"/>
        </w:rPr>
        <w:t>商务主管部门会同有关</w:t>
      </w:r>
      <w:r>
        <w:rPr>
          <w:rFonts w:hint="eastAsia" w:ascii="方正仿宋_GBK" w:hAnsi="宋体" w:eastAsia="方正仿宋_GBK" w:cs="宋体"/>
          <w:sz w:val="32"/>
          <w:szCs w:val="32"/>
        </w:rPr>
        <w:t>机构、区级商务主管部门开展南京老字号日常监测，建立“红绿灯”机制，对出现本办法</w:t>
      </w:r>
      <w:r>
        <w:rPr>
          <w:rFonts w:hint="eastAsia" w:ascii="方正仿宋_GBK" w:hAnsi="方正仿宋_GBK" w:eastAsia="方正仿宋_GBK" w:cs="方正仿宋_GBK"/>
          <w:b/>
          <w:bCs/>
          <w:color w:val="000000"/>
          <w:sz w:val="32"/>
          <w:szCs w:val="32"/>
        </w:rPr>
        <w:t>第二十条、第二十一条、第二十二条</w:t>
      </w:r>
      <w:r>
        <w:rPr>
          <w:rFonts w:hint="eastAsia" w:ascii="方正仿宋_GBK" w:hAnsi="宋体" w:eastAsia="方正仿宋_GBK" w:cs="宋体"/>
          <w:sz w:val="32"/>
          <w:szCs w:val="32"/>
        </w:rPr>
        <w:t>所列有关情形的南京老字号企业，分别采取相应管理措施。按照本办法，视情况提出整改、约谈或移出南京老字号名录等处理。</w:t>
      </w:r>
    </w:p>
    <w:p>
      <w:pPr>
        <w:snapToGrid w:val="0"/>
        <w:spacing w:line="580" w:lineRule="exact"/>
        <w:ind w:firstLine="640" w:firstLineChars="200"/>
        <w:rPr>
          <w:rFonts w:ascii="方正仿宋_GBK" w:eastAsia="方正仿宋_GBK"/>
          <w:sz w:val="32"/>
          <w:szCs w:val="32"/>
        </w:rPr>
      </w:pPr>
      <w:r>
        <w:rPr>
          <w:rFonts w:hint="eastAsia" w:ascii="方正黑体_GBK" w:hAnsi="宋体" w:eastAsia="方正黑体_GBK" w:cs="宋体"/>
          <w:sz w:val="32"/>
          <w:szCs w:val="32"/>
        </w:rPr>
        <w:t xml:space="preserve">第二十条  </w:t>
      </w:r>
      <w:r>
        <w:rPr>
          <w:rFonts w:hint="eastAsia" w:ascii="方正仿宋_GBK" w:hAnsi="宋体" w:eastAsia="方正仿宋_GBK" w:cs="宋体"/>
          <w:sz w:val="32"/>
          <w:szCs w:val="32"/>
        </w:rPr>
        <w:t>南京老字号企业出现下列情形之一的，由注册地区级商务主管部门责</w:t>
      </w:r>
      <w:r>
        <w:rPr>
          <w:rFonts w:ascii="Times New Roman" w:hAnsi="Times New Roman" w:eastAsia="方正仿宋_GBK" w:cs="Times New Roman"/>
          <w:sz w:val="32"/>
          <w:szCs w:val="32"/>
        </w:rPr>
        <w:t>令3个月</w:t>
      </w:r>
      <w:r>
        <w:rPr>
          <w:rFonts w:hint="eastAsia" w:ascii="方正仿宋_GBK" w:hAnsi="宋体" w:eastAsia="方正仿宋_GBK" w:cs="宋体"/>
          <w:sz w:val="32"/>
          <w:szCs w:val="32"/>
        </w:rPr>
        <w:t>内予以整改，必要时可约谈企业负责人：</w:t>
      </w:r>
    </w:p>
    <w:p>
      <w:pPr>
        <w:snapToGrid w:val="0"/>
        <w:spacing w:line="580" w:lineRule="exact"/>
        <w:ind w:firstLine="640" w:firstLineChars="200"/>
        <w:rPr>
          <w:rFonts w:ascii="方正仿宋_GBK" w:eastAsia="方正仿宋_GBK"/>
          <w:sz w:val="32"/>
          <w:szCs w:val="32"/>
        </w:rPr>
      </w:pPr>
      <w:bookmarkStart w:id="12" w:name="bookmark31"/>
      <w:r>
        <w:rPr>
          <w:rFonts w:hint="eastAsia" w:ascii="方正仿宋_GBK" w:hAnsi="宋体" w:eastAsia="方正仿宋_GBK" w:cs="宋体"/>
          <w:sz w:val="32"/>
          <w:szCs w:val="32"/>
        </w:rPr>
        <w:t>（</w:t>
      </w:r>
      <w:bookmarkEnd w:id="12"/>
      <w:r>
        <w:rPr>
          <w:rFonts w:hint="eastAsia" w:ascii="方正仿宋_GBK" w:hAnsi="宋体" w:eastAsia="方正仿宋_GBK" w:cs="宋体"/>
          <w:sz w:val="32"/>
          <w:szCs w:val="32"/>
        </w:rPr>
        <w:t>一）企业信息发生变化后未按本办法</w:t>
      </w:r>
      <w:r>
        <w:rPr>
          <w:rFonts w:hint="eastAsia" w:ascii="方正仿宋_GBK" w:hAnsi="方正仿宋_GBK" w:eastAsia="方正仿宋_GBK" w:cs="方正仿宋_GBK"/>
          <w:b/>
          <w:bCs/>
          <w:color w:val="000000"/>
          <w:sz w:val="32"/>
          <w:szCs w:val="32"/>
        </w:rPr>
        <w:t>第十七条</w:t>
      </w:r>
      <w:r>
        <w:rPr>
          <w:rFonts w:hint="eastAsia" w:ascii="方正仿宋_GBK" w:hAnsi="宋体" w:eastAsia="方正仿宋_GBK" w:cs="宋体"/>
          <w:sz w:val="32"/>
          <w:szCs w:val="32"/>
        </w:rPr>
        <w:t>规定及时提交申请的；</w:t>
      </w:r>
    </w:p>
    <w:p>
      <w:pPr>
        <w:snapToGrid w:val="0"/>
        <w:spacing w:line="580" w:lineRule="exact"/>
        <w:ind w:firstLine="640" w:firstLineChars="200"/>
        <w:rPr>
          <w:rFonts w:ascii="方正仿宋_GBK" w:eastAsia="方正仿宋_GBK"/>
          <w:sz w:val="32"/>
          <w:szCs w:val="32"/>
        </w:rPr>
      </w:pPr>
      <w:bookmarkStart w:id="13" w:name="bookmark32"/>
      <w:r>
        <w:rPr>
          <w:rFonts w:hint="eastAsia" w:ascii="方正仿宋_GBK" w:hAnsi="宋体" w:eastAsia="方正仿宋_GBK" w:cs="宋体"/>
          <w:sz w:val="32"/>
          <w:szCs w:val="32"/>
        </w:rPr>
        <w:t>（</w:t>
      </w:r>
      <w:bookmarkEnd w:id="13"/>
      <w:r>
        <w:rPr>
          <w:rFonts w:hint="eastAsia" w:ascii="方正仿宋_GBK" w:hAnsi="宋体" w:eastAsia="方正仿宋_GBK" w:cs="宋体"/>
          <w:sz w:val="32"/>
          <w:szCs w:val="32"/>
        </w:rPr>
        <w:t>二）未按本办法</w:t>
      </w:r>
      <w:r>
        <w:rPr>
          <w:rFonts w:hint="eastAsia" w:ascii="方正仿宋_GBK" w:hAnsi="方正仿宋_GBK" w:eastAsia="方正仿宋_GBK" w:cs="方正仿宋_GBK"/>
          <w:b/>
          <w:bCs/>
          <w:color w:val="000000"/>
          <w:sz w:val="32"/>
          <w:szCs w:val="32"/>
        </w:rPr>
        <w:t>第十八条</w:t>
      </w:r>
      <w:r>
        <w:rPr>
          <w:rFonts w:hint="eastAsia" w:ascii="方正仿宋_GBK" w:hAnsi="宋体" w:eastAsia="方正仿宋_GBK" w:cs="宋体"/>
          <w:sz w:val="32"/>
          <w:szCs w:val="32"/>
        </w:rPr>
        <w:t>规定及时报送相关情况的；</w:t>
      </w:r>
    </w:p>
    <w:p>
      <w:pPr>
        <w:snapToGrid w:val="0"/>
        <w:spacing w:line="580" w:lineRule="exact"/>
        <w:ind w:firstLine="640" w:firstLineChars="200"/>
        <w:rPr>
          <w:rFonts w:ascii="方正仿宋_GBK" w:eastAsia="方正仿宋_GBK"/>
          <w:sz w:val="32"/>
          <w:szCs w:val="32"/>
        </w:rPr>
      </w:pPr>
      <w:bookmarkStart w:id="14" w:name="bookmark33"/>
      <w:r>
        <w:rPr>
          <w:rFonts w:hint="eastAsia" w:ascii="方正仿宋_GBK" w:hAnsi="宋体" w:eastAsia="方正仿宋_GBK" w:cs="宋体"/>
          <w:sz w:val="32"/>
          <w:szCs w:val="32"/>
        </w:rPr>
        <w:t>（</w:t>
      </w:r>
      <w:bookmarkEnd w:id="14"/>
      <w:r>
        <w:rPr>
          <w:rFonts w:hint="eastAsia" w:ascii="方正仿宋_GBK" w:hAnsi="宋体" w:eastAsia="方正仿宋_GBK" w:cs="宋体"/>
          <w:sz w:val="32"/>
          <w:szCs w:val="32"/>
        </w:rPr>
        <w:t>三）南京老字号标识、牌匾使用不符合《南京老字号标识和牌匾使用规定》的；</w:t>
      </w:r>
    </w:p>
    <w:p>
      <w:pPr>
        <w:snapToGrid w:val="0"/>
        <w:spacing w:line="580" w:lineRule="exact"/>
        <w:ind w:firstLine="640" w:firstLineChars="200"/>
        <w:rPr>
          <w:rFonts w:ascii="方正仿宋_GBK" w:eastAsia="方正仿宋_GBK"/>
          <w:color w:val="000000"/>
          <w:sz w:val="32"/>
          <w:szCs w:val="32"/>
        </w:rPr>
      </w:pPr>
      <w:bookmarkStart w:id="15" w:name="bookmark34"/>
      <w:r>
        <w:rPr>
          <w:rFonts w:hint="eastAsia" w:ascii="方正仿宋_GBK" w:hAnsi="宋体" w:eastAsia="方正仿宋_GBK" w:cs="宋体"/>
          <w:color w:val="000000"/>
          <w:sz w:val="32"/>
          <w:szCs w:val="32"/>
        </w:rPr>
        <w:t>（</w:t>
      </w:r>
      <w:bookmarkEnd w:id="15"/>
      <w:r>
        <w:rPr>
          <w:rFonts w:hint="eastAsia" w:ascii="方正仿宋_GBK" w:hAnsi="宋体" w:eastAsia="方正仿宋_GBK" w:cs="宋体"/>
          <w:color w:val="000000"/>
          <w:sz w:val="32"/>
          <w:szCs w:val="32"/>
        </w:rPr>
        <w:t>四）因经营问题被相关部门作出行政处罚，或引起社会不良影响的；</w:t>
      </w:r>
    </w:p>
    <w:p>
      <w:pPr>
        <w:snapToGrid w:val="0"/>
        <w:spacing w:line="580" w:lineRule="exact"/>
        <w:ind w:firstLine="640" w:firstLineChars="200"/>
        <w:rPr>
          <w:rFonts w:ascii="方正仿宋_GBK" w:eastAsia="方正仿宋_GBK"/>
          <w:sz w:val="32"/>
          <w:szCs w:val="32"/>
        </w:rPr>
      </w:pPr>
      <w:bookmarkStart w:id="16" w:name="bookmark35"/>
      <w:r>
        <w:rPr>
          <w:rFonts w:hint="eastAsia" w:ascii="方正仿宋_GBK" w:hAnsi="宋体" w:eastAsia="方正仿宋_GBK" w:cs="宋体"/>
          <w:sz w:val="32"/>
          <w:szCs w:val="32"/>
        </w:rPr>
        <w:t>（</w:t>
      </w:r>
      <w:bookmarkEnd w:id="16"/>
      <w:r>
        <w:rPr>
          <w:rFonts w:hint="eastAsia" w:ascii="方正仿宋_GBK" w:hAnsi="宋体" w:eastAsia="方正仿宋_GBK" w:cs="宋体"/>
          <w:sz w:val="32"/>
          <w:szCs w:val="32"/>
        </w:rPr>
        <w:t>五）因违反《文物保护法》《江苏省文物保护条例》相关规定，对涉及不可移动文物的生产经营场所违法进行修缮、转让、抵押、改变用途等活动被相关部门作出行政处罚的；</w:t>
      </w:r>
    </w:p>
    <w:p>
      <w:pPr>
        <w:snapToGrid w:val="0"/>
        <w:spacing w:line="580" w:lineRule="exact"/>
        <w:ind w:firstLine="640" w:firstLineChars="200"/>
        <w:rPr>
          <w:rFonts w:ascii="方正仿宋_GBK" w:hAnsi="宋体" w:eastAsia="方正仿宋_GBK" w:cs="宋体"/>
          <w:color w:val="000000"/>
          <w:sz w:val="32"/>
          <w:szCs w:val="32"/>
        </w:rPr>
      </w:pPr>
      <w:bookmarkStart w:id="17" w:name="bookmark36"/>
      <w:r>
        <w:rPr>
          <w:rFonts w:hint="eastAsia" w:ascii="方正仿宋_GBK" w:hAnsi="宋体" w:eastAsia="方正仿宋_GBK" w:cs="宋体"/>
          <w:color w:val="000000"/>
          <w:sz w:val="32"/>
          <w:szCs w:val="32"/>
        </w:rPr>
        <w:t>（</w:t>
      </w:r>
      <w:bookmarkEnd w:id="17"/>
      <w:r>
        <w:rPr>
          <w:rFonts w:hint="eastAsia" w:ascii="方正仿宋_GBK" w:hAnsi="宋体" w:eastAsia="方正仿宋_GBK" w:cs="宋体"/>
          <w:color w:val="000000"/>
          <w:sz w:val="32"/>
          <w:szCs w:val="32"/>
        </w:rPr>
        <w:t>六）被相关部门列入经营异常名录的。</w:t>
      </w:r>
    </w:p>
    <w:p>
      <w:pPr>
        <w:snapToGrid w:val="0"/>
        <w:spacing w:line="580" w:lineRule="exact"/>
        <w:ind w:firstLine="640" w:firstLineChars="200"/>
        <w:rPr>
          <w:rFonts w:ascii="方正仿宋_GBK" w:hAnsi="宋体" w:eastAsia="方正仿宋_GBK" w:cs="宋体"/>
          <w:color w:val="000000"/>
          <w:sz w:val="32"/>
          <w:szCs w:val="32"/>
        </w:rPr>
      </w:pPr>
      <w:r>
        <w:rPr>
          <w:rFonts w:hint="eastAsia" w:ascii="方正仿宋_GBK" w:hAnsi="宋体" w:eastAsia="方正仿宋_GBK" w:cs="宋体"/>
          <w:color w:val="000000"/>
          <w:sz w:val="32"/>
          <w:szCs w:val="32"/>
        </w:rPr>
        <w:t>（七）其他应当进行整改的事项。</w:t>
      </w:r>
    </w:p>
    <w:p>
      <w:pPr>
        <w:snapToGrid w:val="0"/>
        <w:spacing w:line="580" w:lineRule="exact"/>
        <w:ind w:firstLine="640" w:firstLineChars="200"/>
        <w:rPr>
          <w:rFonts w:ascii="方正仿宋_GBK" w:eastAsia="方正仿宋_GBK"/>
          <w:color w:val="000000"/>
          <w:sz w:val="32"/>
          <w:szCs w:val="32"/>
        </w:rPr>
      </w:pPr>
      <w:r>
        <w:rPr>
          <w:rFonts w:hint="eastAsia" w:ascii="方正黑体_GBK" w:hAnsi="宋体" w:eastAsia="方正黑体_GBK" w:cs="宋体"/>
          <w:color w:val="000000"/>
          <w:sz w:val="32"/>
          <w:szCs w:val="32"/>
        </w:rPr>
        <w:t xml:space="preserve">第二十一条  </w:t>
      </w:r>
      <w:r>
        <w:rPr>
          <w:rFonts w:hint="eastAsia" w:ascii="方正仿宋_GBK" w:hAnsi="宋体" w:eastAsia="方正仿宋_GBK" w:cs="宋体"/>
          <w:color w:val="000000"/>
          <w:sz w:val="32"/>
          <w:szCs w:val="32"/>
        </w:rPr>
        <w:t>南京老字号企业出现下列情形之一的，注册地区级商务主管部门可以建议市</w:t>
      </w:r>
      <w:r>
        <w:rPr>
          <w:rFonts w:hint="eastAsia" w:ascii="方正仿宋_GBK" w:hAnsi="宋体" w:eastAsia="方正仿宋_GBK" w:cs="宋体"/>
          <w:color w:val="000000"/>
          <w:sz w:val="32"/>
          <w:szCs w:val="32"/>
          <w:lang w:eastAsia="zh-CN"/>
        </w:rPr>
        <w:t>级</w:t>
      </w:r>
      <w:r>
        <w:rPr>
          <w:rFonts w:hint="eastAsia" w:ascii="方正仿宋_GBK" w:hAnsi="宋体" w:eastAsia="方正仿宋_GBK" w:cs="宋体"/>
          <w:color w:val="000000"/>
          <w:sz w:val="32"/>
          <w:szCs w:val="32"/>
        </w:rPr>
        <w:t>商务主管部门暂停其南京老字号标识及牌匾使用权：</w:t>
      </w:r>
    </w:p>
    <w:p>
      <w:pPr>
        <w:snapToGrid w:val="0"/>
        <w:spacing w:line="580" w:lineRule="exact"/>
        <w:ind w:firstLine="640" w:firstLineChars="200"/>
        <w:rPr>
          <w:rFonts w:ascii="方正仿宋_GBK" w:eastAsia="方正仿宋_GBK"/>
          <w:color w:val="000000"/>
          <w:sz w:val="32"/>
          <w:szCs w:val="32"/>
        </w:rPr>
      </w:pPr>
      <w:bookmarkStart w:id="18" w:name="bookmark37"/>
      <w:r>
        <w:rPr>
          <w:rFonts w:hint="eastAsia" w:ascii="方正仿宋_GBK" w:hAnsi="宋体" w:eastAsia="方正仿宋_GBK" w:cs="宋体"/>
          <w:color w:val="000000"/>
          <w:sz w:val="32"/>
          <w:szCs w:val="32"/>
        </w:rPr>
        <w:t>（</w:t>
      </w:r>
      <w:bookmarkEnd w:id="18"/>
      <w:r>
        <w:rPr>
          <w:rFonts w:hint="eastAsia" w:ascii="方正仿宋_GBK" w:hAnsi="宋体" w:eastAsia="方正仿宋_GBK" w:cs="宋体"/>
          <w:color w:val="000000"/>
          <w:sz w:val="32"/>
          <w:szCs w:val="32"/>
        </w:rPr>
        <w:t>一）</w:t>
      </w:r>
      <w:r>
        <w:rPr>
          <w:rFonts w:hint="eastAsia" w:ascii="方正仿宋_GBK" w:eastAsia="方正仿宋_GBK"/>
          <w:color w:val="000000"/>
          <w:sz w:val="32"/>
          <w:szCs w:val="32"/>
        </w:rPr>
        <w:tab/>
      </w:r>
      <w:r>
        <w:rPr>
          <w:rFonts w:hint="eastAsia" w:ascii="方正仿宋_GBK" w:hAnsi="宋体" w:eastAsia="方正仿宋_GBK" w:cs="宋体"/>
          <w:color w:val="000000"/>
          <w:sz w:val="32"/>
          <w:szCs w:val="32"/>
        </w:rPr>
        <w:t>被区级商务主管部门约谈，未按时整改或整改不力的；</w:t>
      </w:r>
    </w:p>
    <w:p>
      <w:pPr>
        <w:snapToGrid w:val="0"/>
        <w:spacing w:line="580" w:lineRule="exact"/>
        <w:ind w:firstLine="640" w:firstLineChars="200"/>
        <w:rPr>
          <w:rFonts w:ascii="方正仿宋_GBK" w:eastAsia="方正仿宋_GBK"/>
          <w:color w:val="000000"/>
          <w:sz w:val="32"/>
          <w:szCs w:val="32"/>
        </w:rPr>
      </w:pPr>
      <w:bookmarkStart w:id="19" w:name="bookmark38"/>
      <w:r>
        <w:rPr>
          <w:rFonts w:hint="eastAsia" w:ascii="方正仿宋_GBK" w:hAnsi="宋体" w:eastAsia="方正仿宋_GBK" w:cs="宋体"/>
          <w:color w:val="000000"/>
          <w:sz w:val="32"/>
          <w:szCs w:val="32"/>
        </w:rPr>
        <w:t>（</w:t>
      </w:r>
      <w:bookmarkEnd w:id="19"/>
      <w:r>
        <w:rPr>
          <w:rFonts w:hint="eastAsia" w:ascii="方正仿宋_GBK" w:hAnsi="宋体" w:eastAsia="方正仿宋_GBK" w:cs="宋体"/>
          <w:color w:val="000000"/>
          <w:sz w:val="32"/>
          <w:szCs w:val="32"/>
        </w:rPr>
        <w:t>二）</w:t>
      </w:r>
      <w:r>
        <w:rPr>
          <w:rFonts w:hint="eastAsia" w:ascii="方正仿宋_GBK" w:eastAsia="方正仿宋_GBK"/>
          <w:color w:val="000000"/>
          <w:sz w:val="32"/>
          <w:szCs w:val="32"/>
        </w:rPr>
        <w:tab/>
      </w:r>
      <w:r>
        <w:rPr>
          <w:rFonts w:hint="eastAsia" w:ascii="方正仿宋_GBK" w:hAnsi="宋体" w:eastAsia="方正仿宋_GBK" w:cs="宋体"/>
          <w:color w:val="000000"/>
          <w:sz w:val="32"/>
          <w:szCs w:val="32"/>
        </w:rPr>
        <w:t>发生损害消费者权益、出现质量问题、侵犯他人知识产权、扰乱市场秩序，造成一定负面社会影响，影响南京老字号形象的；</w:t>
      </w:r>
    </w:p>
    <w:p>
      <w:pPr>
        <w:snapToGrid w:val="0"/>
        <w:spacing w:line="580" w:lineRule="exact"/>
        <w:ind w:firstLine="640" w:firstLineChars="200"/>
        <w:rPr>
          <w:rFonts w:ascii="方正仿宋_GBK" w:hAnsi="宋体" w:eastAsia="方正仿宋_GBK" w:cs="宋体"/>
          <w:color w:val="000000"/>
          <w:sz w:val="32"/>
          <w:szCs w:val="32"/>
        </w:rPr>
      </w:pPr>
      <w:r>
        <w:rPr>
          <w:rFonts w:hint="eastAsia" w:ascii="方正仿宋_GBK" w:hAnsi="宋体" w:eastAsia="方正仿宋_GBK" w:cs="宋体"/>
          <w:color w:val="000000"/>
          <w:sz w:val="32"/>
          <w:szCs w:val="32"/>
        </w:rPr>
        <w:t>（三）被相关部门列入严重违法失信名单的。</w:t>
      </w:r>
    </w:p>
    <w:p>
      <w:pPr>
        <w:snapToGrid w:val="0"/>
        <w:spacing w:line="580" w:lineRule="exact"/>
        <w:ind w:firstLine="640" w:firstLineChars="200"/>
        <w:rPr>
          <w:rFonts w:ascii="方正仿宋_GBK" w:eastAsia="方正仿宋_GBK"/>
          <w:color w:val="000000"/>
          <w:sz w:val="32"/>
          <w:szCs w:val="32"/>
        </w:rPr>
      </w:pPr>
      <w:r>
        <w:rPr>
          <w:rFonts w:hint="eastAsia" w:ascii="方正仿宋_GBK" w:hAnsi="宋体" w:eastAsia="方正仿宋_GBK" w:cs="宋体"/>
          <w:color w:val="000000"/>
          <w:sz w:val="32"/>
          <w:szCs w:val="32"/>
        </w:rPr>
        <w:t>市商务主管部门认为确有必要的，应当作出暂停其南京老字号标识及牌匾使用权的决定，并责令其</w:t>
      </w:r>
      <w:r>
        <w:rPr>
          <w:rFonts w:ascii="Times New Roman" w:hAnsi="Times New Roman" w:eastAsia="方正仿宋_GBK" w:cs="Times New Roman"/>
          <w:color w:val="000000"/>
          <w:sz w:val="32"/>
          <w:szCs w:val="32"/>
        </w:rPr>
        <w:t>于3</w:t>
      </w:r>
      <w:r>
        <w:rPr>
          <w:rFonts w:hint="eastAsia" w:ascii="方正仿宋_GBK" w:hAnsi="宋体" w:eastAsia="方正仿宋_GBK" w:cs="宋体"/>
          <w:color w:val="000000"/>
          <w:sz w:val="32"/>
          <w:szCs w:val="32"/>
        </w:rPr>
        <w:t>个月内完成整改。</w:t>
      </w:r>
    </w:p>
    <w:p>
      <w:pPr>
        <w:snapToGrid w:val="0"/>
        <w:spacing w:line="580" w:lineRule="exact"/>
        <w:ind w:firstLine="640" w:firstLineChars="200"/>
        <w:rPr>
          <w:rFonts w:ascii="方正仿宋_GBK" w:eastAsia="方正仿宋_GBK"/>
          <w:color w:val="000000"/>
          <w:sz w:val="32"/>
          <w:szCs w:val="32"/>
        </w:rPr>
      </w:pPr>
      <w:r>
        <w:rPr>
          <w:rFonts w:hint="eastAsia" w:ascii="方正仿宋_GBK" w:hAnsi="宋体" w:eastAsia="方正仿宋_GBK" w:cs="宋体"/>
          <w:color w:val="000000"/>
          <w:sz w:val="32"/>
          <w:szCs w:val="32"/>
        </w:rPr>
        <w:t>南京老字号企业整改完成后，由注册地区级商务主管部门对整改情况进行审核，并提出审核意见报市</w:t>
      </w:r>
      <w:r>
        <w:rPr>
          <w:rFonts w:hint="eastAsia" w:ascii="方正仿宋_GBK" w:hAnsi="宋体" w:eastAsia="方正仿宋_GBK" w:cs="宋体"/>
          <w:color w:val="000000"/>
          <w:sz w:val="32"/>
          <w:szCs w:val="32"/>
          <w:lang w:eastAsia="zh-CN"/>
        </w:rPr>
        <w:t>级</w:t>
      </w:r>
      <w:r>
        <w:rPr>
          <w:rFonts w:hint="eastAsia" w:ascii="方正仿宋_GBK" w:hAnsi="宋体" w:eastAsia="方正仿宋_GBK" w:cs="宋体"/>
          <w:color w:val="000000"/>
          <w:sz w:val="32"/>
          <w:szCs w:val="32"/>
        </w:rPr>
        <w:t>商务主管部门。市</w:t>
      </w:r>
      <w:r>
        <w:rPr>
          <w:rFonts w:hint="eastAsia" w:ascii="方正仿宋_GBK" w:hAnsi="宋体" w:eastAsia="方正仿宋_GBK" w:cs="宋体"/>
          <w:color w:val="000000"/>
          <w:sz w:val="32"/>
          <w:szCs w:val="32"/>
          <w:lang w:eastAsia="zh-CN"/>
        </w:rPr>
        <w:t>级</w:t>
      </w:r>
      <w:r>
        <w:rPr>
          <w:rFonts w:hint="eastAsia" w:ascii="方正仿宋_GBK" w:hAnsi="宋体" w:eastAsia="方正仿宋_GBK" w:cs="宋体"/>
          <w:color w:val="000000"/>
          <w:sz w:val="32"/>
          <w:szCs w:val="32"/>
        </w:rPr>
        <w:t>商务主管部门认为整改到位的，应当作出恢复其南京老字号标识及牌匾使用权的决定。</w:t>
      </w:r>
    </w:p>
    <w:p>
      <w:pPr>
        <w:snapToGrid w:val="0"/>
        <w:spacing w:line="580" w:lineRule="exact"/>
        <w:ind w:firstLine="640" w:firstLineChars="200"/>
        <w:rPr>
          <w:rFonts w:ascii="方正仿宋_GBK" w:eastAsia="方正仿宋_GBK"/>
          <w:color w:val="000000"/>
          <w:sz w:val="32"/>
          <w:szCs w:val="32"/>
        </w:rPr>
      </w:pPr>
      <w:r>
        <w:rPr>
          <w:rFonts w:hint="eastAsia" w:ascii="方正黑体_GBK" w:hAnsi="宋体" w:eastAsia="方正黑体_GBK" w:cs="宋体"/>
          <w:sz w:val="32"/>
          <w:szCs w:val="32"/>
        </w:rPr>
        <w:t xml:space="preserve">第二十二条  </w:t>
      </w:r>
      <w:r>
        <w:rPr>
          <w:rFonts w:hint="eastAsia" w:ascii="方正仿宋_GBK" w:hAnsi="宋体" w:eastAsia="方正仿宋_GBK" w:cs="宋体"/>
          <w:sz w:val="32"/>
          <w:szCs w:val="32"/>
        </w:rPr>
        <w:t>南京老</w:t>
      </w:r>
      <w:r>
        <w:rPr>
          <w:rFonts w:hint="eastAsia" w:ascii="方正仿宋_GBK" w:hAnsi="宋体" w:eastAsia="方正仿宋_GBK" w:cs="宋体"/>
          <w:color w:val="000000"/>
          <w:sz w:val="32"/>
          <w:szCs w:val="32"/>
        </w:rPr>
        <w:t>字号企业出现下列情形之一的，注册地区级商务主管部门可以建议市</w:t>
      </w:r>
      <w:r>
        <w:rPr>
          <w:rFonts w:hint="eastAsia" w:ascii="方正仿宋_GBK" w:hAnsi="宋体" w:eastAsia="方正仿宋_GBK" w:cs="宋体"/>
          <w:color w:val="000000"/>
          <w:sz w:val="32"/>
          <w:szCs w:val="32"/>
          <w:lang w:eastAsia="zh-CN"/>
        </w:rPr>
        <w:t>级</w:t>
      </w:r>
      <w:r>
        <w:rPr>
          <w:rFonts w:hint="eastAsia" w:ascii="方正仿宋_GBK" w:hAnsi="宋体" w:eastAsia="方正仿宋_GBK" w:cs="宋体"/>
          <w:color w:val="000000"/>
          <w:sz w:val="32"/>
          <w:szCs w:val="32"/>
        </w:rPr>
        <w:t>商务主管部门将其移出南京老字号名录并收回南京老字号标识及牌匾使用权：</w:t>
      </w:r>
    </w:p>
    <w:p>
      <w:pPr>
        <w:snapToGrid w:val="0"/>
        <w:spacing w:line="580" w:lineRule="exact"/>
        <w:ind w:firstLine="640" w:firstLineChars="200"/>
        <w:rPr>
          <w:rFonts w:ascii="方正仿宋_GBK" w:eastAsia="方正仿宋_GBK"/>
          <w:sz w:val="32"/>
          <w:szCs w:val="32"/>
        </w:rPr>
      </w:pPr>
      <w:bookmarkStart w:id="20" w:name="bookmark39"/>
      <w:r>
        <w:rPr>
          <w:rFonts w:hint="eastAsia" w:ascii="方正仿宋_GBK" w:hAnsi="宋体" w:eastAsia="方正仿宋_GBK" w:cs="宋体"/>
          <w:sz w:val="32"/>
          <w:szCs w:val="32"/>
        </w:rPr>
        <w:t>（</w:t>
      </w:r>
      <w:bookmarkEnd w:id="20"/>
      <w:r>
        <w:rPr>
          <w:rFonts w:hint="eastAsia" w:ascii="方正仿宋_GBK" w:hAnsi="宋体" w:eastAsia="方正仿宋_GBK" w:cs="宋体"/>
          <w:sz w:val="32"/>
          <w:szCs w:val="32"/>
        </w:rPr>
        <w:t>一）企业破产清算、解散、注销、被吊销营业执照或三年以上不开展经营活动的；</w:t>
      </w:r>
    </w:p>
    <w:p>
      <w:pPr>
        <w:snapToGrid w:val="0"/>
        <w:spacing w:line="580" w:lineRule="exact"/>
        <w:ind w:firstLine="640" w:firstLineChars="200"/>
        <w:rPr>
          <w:rFonts w:ascii="方正仿宋_GBK" w:eastAsia="方正仿宋_GBK"/>
          <w:sz w:val="32"/>
          <w:szCs w:val="32"/>
        </w:rPr>
      </w:pPr>
      <w:bookmarkStart w:id="21" w:name="bookmark40"/>
      <w:r>
        <w:rPr>
          <w:rFonts w:hint="eastAsia" w:ascii="方正仿宋_GBK" w:hAnsi="宋体" w:eastAsia="方正仿宋_GBK" w:cs="宋体"/>
          <w:sz w:val="32"/>
          <w:szCs w:val="32"/>
        </w:rPr>
        <w:t>（</w:t>
      </w:r>
      <w:bookmarkEnd w:id="21"/>
      <w:r>
        <w:rPr>
          <w:rFonts w:hint="eastAsia" w:ascii="方正仿宋_GBK" w:hAnsi="宋体" w:eastAsia="方正仿宋_GBK" w:cs="宋体"/>
          <w:sz w:val="32"/>
          <w:szCs w:val="32"/>
        </w:rPr>
        <w:t>二）丧失老字号注册商标专用权及独占许可使用权的；</w:t>
      </w:r>
    </w:p>
    <w:p>
      <w:pPr>
        <w:snapToGrid w:val="0"/>
        <w:spacing w:line="580" w:lineRule="exact"/>
        <w:ind w:firstLine="640" w:firstLineChars="200"/>
        <w:rPr>
          <w:rFonts w:ascii="方正仿宋_GBK" w:eastAsia="方正仿宋_GBK"/>
          <w:sz w:val="32"/>
          <w:szCs w:val="32"/>
        </w:rPr>
      </w:pPr>
      <w:bookmarkStart w:id="22" w:name="bookmark41"/>
      <w:r>
        <w:rPr>
          <w:rFonts w:hint="eastAsia" w:ascii="方正仿宋_GBK" w:hAnsi="宋体" w:eastAsia="方正仿宋_GBK" w:cs="宋体"/>
          <w:sz w:val="32"/>
          <w:szCs w:val="32"/>
        </w:rPr>
        <w:t>（</w:t>
      </w:r>
      <w:bookmarkEnd w:id="22"/>
      <w:r>
        <w:rPr>
          <w:rFonts w:hint="eastAsia" w:ascii="方正仿宋_GBK" w:hAnsi="宋体" w:eastAsia="方正仿宋_GBK" w:cs="宋体"/>
          <w:sz w:val="32"/>
          <w:szCs w:val="32"/>
        </w:rPr>
        <w:t>三）发生严重损害消费者权益、出现重大质量问题或安全事故、重复侵犯他人知识产权、严重扰乱市场秩序或其他严重违法行为的；</w:t>
      </w:r>
    </w:p>
    <w:p>
      <w:pPr>
        <w:snapToGrid w:val="0"/>
        <w:spacing w:line="580" w:lineRule="exact"/>
        <w:ind w:firstLine="640" w:firstLineChars="200"/>
        <w:rPr>
          <w:rFonts w:ascii="方正仿宋_GBK" w:eastAsia="方正仿宋_GBK"/>
          <w:color w:val="000000"/>
          <w:sz w:val="32"/>
          <w:szCs w:val="32"/>
        </w:rPr>
      </w:pPr>
      <w:bookmarkStart w:id="23" w:name="bookmark42"/>
      <w:r>
        <w:rPr>
          <w:rFonts w:hint="eastAsia" w:ascii="方正仿宋_GBK" w:hAnsi="宋体" w:eastAsia="方正仿宋_GBK" w:cs="宋体"/>
          <w:color w:val="000000"/>
          <w:sz w:val="32"/>
          <w:szCs w:val="32"/>
        </w:rPr>
        <w:t>（</w:t>
      </w:r>
      <w:bookmarkEnd w:id="23"/>
      <w:r>
        <w:rPr>
          <w:rFonts w:hint="eastAsia" w:ascii="方正仿宋_GBK" w:hAnsi="宋体" w:eastAsia="方正仿宋_GBK" w:cs="宋体"/>
          <w:color w:val="000000"/>
          <w:sz w:val="32"/>
          <w:szCs w:val="32"/>
        </w:rPr>
        <w:t>四）以欺骗或其他不正当手段骗取列入南京老字号名录的；</w:t>
      </w:r>
    </w:p>
    <w:p>
      <w:pPr>
        <w:snapToGrid w:val="0"/>
        <w:spacing w:line="580" w:lineRule="exact"/>
        <w:ind w:firstLine="640" w:firstLineChars="200"/>
        <w:rPr>
          <w:rFonts w:ascii="方正仿宋_GBK" w:eastAsia="方正仿宋_GBK"/>
          <w:sz w:val="32"/>
          <w:szCs w:val="32"/>
        </w:rPr>
      </w:pPr>
      <w:bookmarkStart w:id="24" w:name="bookmark43"/>
      <w:r>
        <w:rPr>
          <w:rFonts w:hint="eastAsia" w:ascii="方正仿宋_GBK" w:hAnsi="宋体" w:eastAsia="方正仿宋_GBK" w:cs="宋体"/>
          <w:sz w:val="32"/>
          <w:szCs w:val="32"/>
        </w:rPr>
        <w:t>（</w:t>
      </w:r>
      <w:bookmarkEnd w:id="24"/>
      <w:r>
        <w:rPr>
          <w:rFonts w:hint="eastAsia" w:ascii="方正仿宋_GBK" w:hAnsi="宋体" w:eastAsia="方正仿宋_GBK" w:cs="宋体"/>
          <w:sz w:val="32"/>
          <w:szCs w:val="32"/>
        </w:rPr>
        <w:t>五）被暂</w:t>
      </w:r>
      <w:r>
        <w:rPr>
          <w:rFonts w:hint="eastAsia" w:ascii="方正仿宋_GBK" w:hAnsi="宋体" w:eastAsia="方正仿宋_GBK" w:cs="宋体"/>
          <w:sz w:val="32"/>
          <w:szCs w:val="32"/>
          <w:lang w:eastAsia="zh-CN"/>
        </w:rPr>
        <w:t>停</w:t>
      </w:r>
      <w:r>
        <w:rPr>
          <w:rFonts w:hint="eastAsia" w:ascii="方正仿宋_GBK" w:hAnsi="宋体" w:eastAsia="方正仿宋_GBK" w:cs="宋体"/>
          <w:sz w:val="32"/>
          <w:szCs w:val="32"/>
        </w:rPr>
        <w:t>南京老字号标识及牌匾使用权，到期后仍未有效整改的；</w:t>
      </w:r>
    </w:p>
    <w:p>
      <w:pPr>
        <w:snapToGrid w:val="0"/>
        <w:spacing w:line="580" w:lineRule="exact"/>
        <w:ind w:firstLine="640" w:firstLineChars="200"/>
        <w:rPr>
          <w:rFonts w:ascii="方正仿宋_GBK" w:eastAsia="方正仿宋_GBK"/>
          <w:color w:val="auto"/>
          <w:sz w:val="32"/>
          <w:szCs w:val="32"/>
        </w:rPr>
      </w:pPr>
      <w:bookmarkStart w:id="25" w:name="bookmark44"/>
      <w:r>
        <w:rPr>
          <w:rFonts w:hint="eastAsia" w:ascii="方正仿宋_GBK" w:hAnsi="宋体" w:eastAsia="方正仿宋_GBK" w:cs="宋体"/>
          <w:color w:val="000000"/>
          <w:sz w:val="32"/>
          <w:szCs w:val="32"/>
        </w:rPr>
        <w:t>（</w:t>
      </w:r>
      <w:bookmarkEnd w:id="25"/>
      <w:r>
        <w:rPr>
          <w:rFonts w:hint="eastAsia" w:ascii="方正仿宋_GBK" w:hAnsi="宋体" w:eastAsia="方正仿宋_GBK" w:cs="宋体"/>
          <w:color w:val="000000"/>
          <w:sz w:val="32"/>
          <w:szCs w:val="32"/>
        </w:rPr>
        <w:t>六）其他不符合南京老字号和南京老字号企业基本条件的或主管部门经调查认定</w:t>
      </w:r>
      <w:r>
        <w:rPr>
          <w:rFonts w:hint="eastAsia" w:ascii="方正仿宋_GBK" w:hAnsi="宋体" w:eastAsia="方正仿宋_GBK" w:cs="宋体"/>
          <w:color w:val="000000"/>
          <w:sz w:val="32"/>
          <w:szCs w:val="32"/>
          <w:lang w:eastAsia="zh-CN"/>
        </w:rPr>
        <w:t>需移出老字号</w:t>
      </w:r>
      <w:r>
        <w:rPr>
          <w:rFonts w:hint="eastAsia" w:ascii="方正仿宋_GBK" w:hAnsi="宋体" w:eastAsia="方正仿宋_GBK" w:cs="宋体"/>
          <w:color w:val="auto"/>
          <w:sz w:val="32"/>
          <w:szCs w:val="32"/>
          <w:lang w:eastAsia="zh-CN"/>
        </w:rPr>
        <w:t>名录并收回老字号标识及</w:t>
      </w:r>
      <w:r>
        <w:rPr>
          <w:rFonts w:hint="eastAsia" w:ascii="方正仿宋_GBK" w:hAnsi="宋体" w:eastAsia="方正仿宋_GBK" w:cs="宋体"/>
          <w:color w:val="auto"/>
          <w:sz w:val="32"/>
          <w:szCs w:val="32"/>
          <w:lang w:val="en-US" w:eastAsia="zh-CN"/>
        </w:rPr>
        <w:t>牌匾的</w:t>
      </w:r>
      <w:r>
        <w:rPr>
          <w:rFonts w:hint="eastAsia" w:ascii="方正仿宋_GBK" w:hAnsi="宋体" w:eastAsia="方正仿宋_GBK" w:cs="宋体"/>
          <w:color w:val="auto"/>
          <w:sz w:val="32"/>
          <w:szCs w:val="32"/>
        </w:rPr>
        <w:t>其他情形；</w:t>
      </w:r>
    </w:p>
    <w:p>
      <w:pPr>
        <w:snapToGrid w:val="0"/>
        <w:spacing w:line="580" w:lineRule="exact"/>
        <w:ind w:firstLine="640" w:firstLineChars="200"/>
        <w:rPr>
          <w:rFonts w:ascii="方正仿宋_GBK" w:eastAsia="方正仿宋_GBK"/>
          <w:color w:val="000000"/>
          <w:sz w:val="32"/>
          <w:szCs w:val="32"/>
        </w:rPr>
      </w:pPr>
      <w:r>
        <w:rPr>
          <w:rFonts w:hint="eastAsia" w:ascii="方正仿宋_GBK" w:hAnsi="宋体" w:eastAsia="方正仿宋_GBK" w:cs="宋体"/>
          <w:color w:val="000000"/>
          <w:sz w:val="32"/>
          <w:szCs w:val="32"/>
        </w:rPr>
        <w:t>（七）市商务主管部门认为确有必要的，合同相关部门作出移出南京老字号名录并收回南京老字号标识使用权及牌匾的决定。</w:t>
      </w:r>
    </w:p>
    <w:p>
      <w:pPr>
        <w:snapToGrid w:val="0"/>
        <w:spacing w:line="580" w:lineRule="exact"/>
        <w:ind w:firstLine="640" w:firstLineChars="200"/>
        <w:rPr>
          <w:rFonts w:ascii="方正仿宋_GBK" w:eastAsia="方正仿宋_GBK"/>
          <w:color w:val="000000"/>
          <w:sz w:val="32"/>
          <w:szCs w:val="32"/>
        </w:rPr>
      </w:pPr>
      <w:r>
        <w:rPr>
          <w:rFonts w:hint="eastAsia" w:ascii="方正黑体_GBK" w:hAnsi="宋体" w:eastAsia="方正黑体_GBK" w:cs="宋体"/>
          <w:sz w:val="32"/>
          <w:szCs w:val="32"/>
        </w:rPr>
        <w:t xml:space="preserve">第二十三条  </w:t>
      </w:r>
      <w:r>
        <w:rPr>
          <w:rFonts w:hint="eastAsia" w:ascii="方正仿宋_GBK" w:hAnsi="宋体" w:eastAsia="方正仿宋_GBK" w:cs="宋体"/>
          <w:color w:val="000000"/>
          <w:sz w:val="32"/>
          <w:szCs w:val="32"/>
        </w:rPr>
        <w:t>市</w:t>
      </w:r>
      <w:r>
        <w:rPr>
          <w:rFonts w:hint="eastAsia" w:ascii="方正仿宋_GBK" w:hAnsi="宋体" w:eastAsia="方正仿宋_GBK" w:cs="宋体"/>
          <w:color w:val="000000"/>
          <w:sz w:val="32"/>
          <w:szCs w:val="32"/>
          <w:lang w:eastAsia="zh-CN"/>
        </w:rPr>
        <w:t>级</w:t>
      </w:r>
      <w:r>
        <w:rPr>
          <w:rFonts w:hint="eastAsia" w:ascii="方正仿宋_GBK" w:hAnsi="宋体" w:eastAsia="方正仿宋_GBK" w:cs="宋体"/>
          <w:color w:val="000000"/>
          <w:sz w:val="32"/>
          <w:szCs w:val="32"/>
        </w:rPr>
        <w:t>商务主管部门会同相关</w:t>
      </w:r>
      <w:r>
        <w:rPr>
          <w:rFonts w:ascii="Times New Roman" w:hAnsi="Times New Roman" w:eastAsia="方正仿宋_GBK" w:cs="Times New Roman"/>
          <w:color w:val="000000"/>
          <w:sz w:val="32"/>
          <w:szCs w:val="32"/>
        </w:rPr>
        <w:t>部门原则上每3年</w:t>
      </w:r>
      <w:r>
        <w:rPr>
          <w:rFonts w:hint="eastAsia" w:ascii="方正仿宋_GBK" w:hAnsi="宋体" w:eastAsia="方正仿宋_GBK" w:cs="宋体"/>
          <w:color w:val="000000"/>
          <w:sz w:val="32"/>
          <w:szCs w:val="32"/>
        </w:rPr>
        <w:t>对南京老字号开展复核，并优先推荐经营状况良好、引领作用明显的南京老字号企业</w:t>
      </w:r>
      <w:r>
        <w:rPr>
          <w:rFonts w:hint="eastAsia" w:ascii="方正仿宋_GBK" w:hAnsi="宋体" w:eastAsia="方正仿宋_GBK" w:cs="宋体"/>
          <w:color w:val="000000"/>
          <w:sz w:val="32"/>
          <w:szCs w:val="32"/>
          <w:lang w:eastAsia="zh-CN"/>
        </w:rPr>
        <w:t>逐级</w:t>
      </w:r>
      <w:r>
        <w:rPr>
          <w:rFonts w:hint="eastAsia" w:ascii="方正仿宋_GBK" w:hAnsi="宋体" w:eastAsia="方正仿宋_GBK" w:cs="宋体"/>
          <w:color w:val="000000"/>
          <w:sz w:val="32"/>
          <w:szCs w:val="32"/>
        </w:rPr>
        <w:t>申报江苏老字号、中华老字号。对复核中发现已经不符合南京老字号条件的，合同相关部门作出移出南京老字号名录、收回南京老字号标识及牌匾使用权的决定。</w:t>
      </w:r>
    </w:p>
    <w:p>
      <w:pPr>
        <w:snapToGrid w:val="0"/>
        <w:spacing w:line="580" w:lineRule="exact"/>
        <w:ind w:firstLine="640" w:firstLineChars="200"/>
        <w:rPr>
          <w:rFonts w:ascii="方正仿宋_GBK" w:eastAsia="方正仿宋_GBK"/>
          <w:color w:val="000000"/>
          <w:sz w:val="32"/>
          <w:szCs w:val="32"/>
        </w:rPr>
      </w:pPr>
      <w:r>
        <w:rPr>
          <w:rFonts w:hint="eastAsia" w:ascii="方正黑体_GBK" w:hAnsi="宋体" w:eastAsia="方正黑体_GBK" w:cs="宋体"/>
          <w:color w:val="000000"/>
          <w:sz w:val="32"/>
          <w:szCs w:val="32"/>
        </w:rPr>
        <w:t xml:space="preserve">第二十四条  </w:t>
      </w:r>
      <w:r>
        <w:rPr>
          <w:rFonts w:hint="eastAsia" w:ascii="方正仿宋_GBK" w:hAnsi="宋体" w:eastAsia="方正仿宋_GBK" w:cs="宋体"/>
          <w:color w:val="000000"/>
          <w:sz w:val="32"/>
          <w:szCs w:val="32"/>
        </w:rPr>
        <w:t>市商务主管部门作出暂停或收回南京老字号标识及牌匾使用权、移出南京老字号名录决定前，通过市商务主管部门网站向社会公布。</w:t>
      </w:r>
    </w:p>
    <w:p>
      <w:pPr>
        <w:snapToGrid w:val="0"/>
        <w:spacing w:line="580" w:lineRule="exact"/>
        <w:ind w:firstLine="640" w:firstLineChars="200"/>
        <w:rPr>
          <w:rFonts w:ascii="方正仿宋_GBK" w:eastAsia="方正仿宋_GBK"/>
          <w:color w:val="000000"/>
          <w:sz w:val="32"/>
          <w:szCs w:val="32"/>
        </w:rPr>
      </w:pPr>
      <w:r>
        <w:rPr>
          <w:rFonts w:hint="eastAsia" w:ascii="方正仿宋_GBK" w:hAnsi="宋体" w:eastAsia="方正仿宋_GBK" w:cs="宋体"/>
          <w:color w:val="000000"/>
          <w:sz w:val="32"/>
          <w:szCs w:val="32"/>
        </w:rPr>
        <w:t>被移出老字号名录的，自决定作出之日起两个申报周期内不得再次申报南京老字号。</w:t>
      </w:r>
    </w:p>
    <w:p>
      <w:pPr>
        <w:snapToGrid w:val="0"/>
        <w:spacing w:line="580" w:lineRule="exact"/>
        <w:rPr>
          <w:rFonts w:ascii="方正黑体_GBK" w:hAnsi="宋体" w:eastAsia="方正黑体_GBK" w:cs="宋体"/>
          <w:sz w:val="32"/>
          <w:szCs w:val="32"/>
        </w:rPr>
      </w:pPr>
    </w:p>
    <w:p>
      <w:pPr>
        <w:snapToGrid w:val="0"/>
        <w:spacing w:line="580" w:lineRule="exact"/>
        <w:jc w:val="center"/>
        <w:rPr>
          <w:rFonts w:ascii="方正黑体_GBK" w:eastAsia="方正黑体_GBK"/>
          <w:sz w:val="32"/>
          <w:szCs w:val="32"/>
        </w:rPr>
      </w:pPr>
      <w:r>
        <w:rPr>
          <w:rFonts w:hint="eastAsia" w:ascii="方正黑体_GBK" w:hAnsi="宋体" w:eastAsia="方正黑体_GBK" w:cs="宋体"/>
          <w:sz w:val="32"/>
          <w:szCs w:val="32"/>
        </w:rPr>
        <w:t>第五章  其他</w:t>
      </w:r>
    </w:p>
    <w:p>
      <w:pPr>
        <w:snapToGrid w:val="0"/>
        <w:spacing w:line="580" w:lineRule="exact"/>
        <w:ind w:firstLine="640" w:firstLineChars="200"/>
        <w:rPr>
          <w:rFonts w:ascii="方正黑体_GBK" w:hAnsi="宋体" w:eastAsia="方正黑体_GBK" w:cs="宋体"/>
          <w:color w:val="000000"/>
          <w:sz w:val="32"/>
          <w:szCs w:val="32"/>
        </w:rPr>
      </w:pPr>
    </w:p>
    <w:p>
      <w:pPr>
        <w:snapToGrid w:val="0"/>
        <w:spacing w:line="580" w:lineRule="exact"/>
        <w:ind w:firstLine="640" w:firstLineChars="200"/>
        <w:rPr>
          <w:rFonts w:ascii="方正仿宋_GBK" w:hAnsi="宋体" w:eastAsia="方正仿宋_GBK" w:cs="宋体"/>
          <w:color w:val="000000"/>
          <w:sz w:val="32"/>
          <w:szCs w:val="32"/>
        </w:rPr>
      </w:pPr>
      <w:r>
        <w:rPr>
          <w:rFonts w:hint="eastAsia" w:ascii="方正黑体_GBK" w:hAnsi="宋体" w:eastAsia="方正黑体_GBK" w:cs="宋体"/>
          <w:color w:val="000000"/>
          <w:sz w:val="32"/>
          <w:szCs w:val="32"/>
        </w:rPr>
        <w:t xml:space="preserve">第二十五条  </w:t>
      </w:r>
      <w:r>
        <w:rPr>
          <w:rFonts w:hint="eastAsia" w:ascii="方正仿宋_GBK" w:hAnsi="宋体" w:eastAsia="方正仿宋_GBK" w:cs="宋体"/>
          <w:color w:val="000000"/>
          <w:sz w:val="32"/>
          <w:szCs w:val="32"/>
        </w:rPr>
        <w:t>市、区各相关部门应加强对本行政区域内老字号知识产权、历史网点、文化遗产的保护，为老字号文化传承、技艺改造、改革创新提供必要的政策支持，组织开展老字号宣传推广活动。</w:t>
      </w:r>
    </w:p>
    <w:p>
      <w:pPr>
        <w:snapToGrid w:val="0"/>
        <w:spacing w:line="580" w:lineRule="exact"/>
        <w:ind w:firstLine="640" w:firstLineChars="200"/>
        <w:rPr>
          <w:rFonts w:ascii="方正仿宋_GBK" w:hAnsi="宋体" w:eastAsia="方正仿宋_GBK" w:cs="宋体"/>
          <w:color w:val="000000"/>
          <w:sz w:val="32"/>
          <w:szCs w:val="32"/>
        </w:rPr>
      </w:pPr>
      <w:r>
        <w:rPr>
          <w:rFonts w:hint="eastAsia" w:ascii="方正黑体_GBK" w:hAnsi="宋体" w:eastAsia="方正黑体_GBK" w:cs="宋体"/>
          <w:color w:val="000000"/>
          <w:sz w:val="32"/>
          <w:szCs w:val="32"/>
        </w:rPr>
        <w:t xml:space="preserve">第二十六条  </w:t>
      </w:r>
      <w:r>
        <w:rPr>
          <w:rFonts w:hint="eastAsia" w:ascii="方正仿宋_GBK" w:hAnsi="宋体" w:eastAsia="方正仿宋_GBK" w:cs="宋体"/>
          <w:color w:val="000000"/>
          <w:sz w:val="32"/>
          <w:szCs w:val="32"/>
        </w:rPr>
        <w:t>鼓励南京老字号企业加强知识产权保护，对商标、域名、地理标志等申请注册或者登记，对独有配方、工艺、服务等申请专利或者以其他适当方式进行商业秘密保护。</w:t>
      </w:r>
    </w:p>
    <w:p>
      <w:pPr>
        <w:snapToGrid w:val="0"/>
        <w:spacing w:line="580" w:lineRule="exact"/>
        <w:ind w:firstLine="640" w:firstLineChars="200"/>
        <w:rPr>
          <w:rFonts w:ascii="方正仿宋_GBK" w:hAnsi="宋体" w:eastAsia="方正仿宋_GBK" w:cs="宋体"/>
          <w:color w:val="000000"/>
          <w:sz w:val="32"/>
          <w:szCs w:val="32"/>
        </w:rPr>
      </w:pPr>
      <w:r>
        <w:rPr>
          <w:rFonts w:hint="eastAsia" w:ascii="方正仿宋_GBK" w:hAnsi="宋体" w:eastAsia="方正仿宋_GBK" w:cs="宋体"/>
          <w:color w:val="000000"/>
          <w:sz w:val="32"/>
          <w:szCs w:val="32"/>
        </w:rPr>
        <w:t>鼓励南京老字号企业、其他社会组织建立南京老字号展示馆、博物馆、传习馆等，促进南京老字号保护和传承。</w:t>
      </w:r>
    </w:p>
    <w:p>
      <w:pPr>
        <w:snapToGrid w:val="0"/>
        <w:spacing w:line="580" w:lineRule="exact"/>
        <w:ind w:firstLine="640" w:firstLineChars="200"/>
        <w:rPr>
          <w:rFonts w:ascii="方正仿宋_GBK" w:eastAsia="方正仿宋_GBK"/>
          <w:color w:val="000000"/>
          <w:sz w:val="32"/>
          <w:szCs w:val="32"/>
        </w:rPr>
      </w:pPr>
      <w:r>
        <w:rPr>
          <w:rFonts w:hint="eastAsia" w:ascii="方正黑体_GBK" w:hAnsi="宋体" w:eastAsia="方正黑体_GBK" w:cs="宋体"/>
          <w:color w:val="000000"/>
          <w:sz w:val="32"/>
          <w:szCs w:val="32"/>
        </w:rPr>
        <w:t xml:space="preserve">第二十七条  </w:t>
      </w:r>
      <w:r>
        <w:rPr>
          <w:rFonts w:hint="eastAsia" w:ascii="方正仿宋_GBK" w:hAnsi="宋体" w:eastAsia="方正仿宋_GBK" w:cs="宋体"/>
          <w:color w:val="000000"/>
          <w:sz w:val="32"/>
          <w:szCs w:val="32"/>
        </w:rPr>
        <w:t>南京老字号企业违反《南京老字号标识和牌匾使用规定》的，市</w:t>
      </w:r>
      <w:r>
        <w:rPr>
          <w:rFonts w:hint="eastAsia" w:ascii="方正仿宋_GBK" w:hAnsi="宋体" w:eastAsia="方正仿宋_GBK" w:cs="宋体"/>
          <w:color w:val="000000"/>
          <w:sz w:val="32"/>
          <w:szCs w:val="32"/>
          <w:lang w:eastAsia="zh-CN"/>
        </w:rPr>
        <w:t>、</w:t>
      </w:r>
      <w:r>
        <w:rPr>
          <w:rFonts w:hint="eastAsia" w:ascii="方正仿宋_GBK" w:hAnsi="宋体" w:eastAsia="方正仿宋_GBK" w:cs="宋体"/>
          <w:color w:val="000000"/>
          <w:sz w:val="32"/>
          <w:szCs w:val="32"/>
        </w:rPr>
        <w:t>区级商务主管部门可依据本办法采取相关措施。</w:t>
      </w:r>
    </w:p>
    <w:p>
      <w:pPr>
        <w:snapToGrid w:val="0"/>
        <w:spacing w:line="580" w:lineRule="exact"/>
        <w:ind w:firstLine="640" w:firstLineChars="200"/>
        <w:rPr>
          <w:rFonts w:ascii="方正仿宋_GBK" w:eastAsia="方正仿宋_GBK"/>
          <w:color w:val="000000"/>
          <w:sz w:val="32"/>
          <w:szCs w:val="32"/>
        </w:rPr>
      </w:pPr>
      <w:r>
        <w:rPr>
          <w:rFonts w:hint="eastAsia" w:ascii="方正仿宋_GBK" w:hAnsi="宋体" w:eastAsia="方正仿宋_GBK" w:cs="宋体"/>
          <w:color w:val="000000"/>
          <w:sz w:val="32"/>
          <w:szCs w:val="32"/>
        </w:rPr>
        <w:t>南京老字号企业因违反本办法</w:t>
      </w:r>
      <w:r>
        <w:rPr>
          <w:rFonts w:hint="eastAsia" w:ascii="方正仿宋_GBK" w:hAnsi="方正仿宋_GBK" w:eastAsia="方正仿宋_GBK" w:cs="方正仿宋_GBK"/>
          <w:b/>
          <w:bCs/>
          <w:color w:val="000000"/>
          <w:sz w:val="32"/>
          <w:szCs w:val="32"/>
        </w:rPr>
        <w:t>第二十一条</w:t>
      </w:r>
      <w:r>
        <w:rPr>
          <w:rFonts w:hint="eastAsia" w:ascii="方正仿宋_GBK" w:hAnsi="宋体" w:eastAsia="方正仿宋_GBK" w:cs="宋体"/>
          <w:color w:val="000000"/>
          <w:sz w:val="32"/>
          <w:szCs w:val="32"/>
        </w:rPr>
        <w:t>，被暂停南京老字号标识及牌匾使用权期间，应撤回其含有南京老字号标识的相关产品、服务，移除并妥善保存南京老字号牌匾，且不得以南京老字号名义开展宣传活动。</w:t>
      </w:r>
    </w:p>
    <w:p>
      <w:pPr>
        <w:snapToGrid w:val="0"/>
        <w:spacing w:line="580" w:lineRule="exact"/>
        <w:ind w:firstLine="640" w:firstLineChars="200"/>
        <w:rPr>
          <w:rFonts w:ascii="方正仿宋_GBK" w:eastAsia="方正仿宋_GBK"/>
          <w:color w:val="000000"/>
          <w:sz w:val="32"/>
          <w:szCs w:val="32"/>
        </w:rPr>
      </w:pPr>
      <w:r>
        <w:rPr>
          <w:rFonts w:hint="eastAsia" w:ascii="方正仿宋_GBK" w:hAnsi="宋体" w:eastAsia="方正仿宋_GBK" w:cs="宋体"/>
          <w:color w:val="000000"/>
          <w:sz w:val="32"/>
          <w:szCs w:val="32"/>
        </w:rPr>
        <w:t>任何单位或个人冒用或滥用南京老字号标识或牌匾，违反《商标法》《反不正当竞争法》《广告法》等法律法规的，由市场监管部门依法依规进行查处。</w:t>
      </w:r>
    </w:p>
    <w:p>
      <w:pPr>
        <w:snapToGrid w:val="0"/>
        <w:spacing w:line="580" w:lineRule="exact"/>
        <w:ind w:firstLine="640" w:firstLineChars="200"/>
        <w:rPr>
          <w:rFonts w:ascii="方正仿宋_GBK" w:eastAsia="方正仿宋_GBK"/>
          <w:color w:val="000000"/>
          <w:sz w:val="32"/>
          <w:szCs w:val="32"/>
        </w:rPr>
      </w:pPr>
      <w:r>
        <w:rPr>
          <w:rFonts w:hint="eastAsia" w:ascii="方正黑体_GBK" w:hAnsi="宋体" w:eastAsia="方正黑体_GBK" w:cs="宋体"/>
          <w:color w:val="000000"/>
          <w:sz w:val="32"/>
          <w:szCs w:val="32"/>
        </w:rPr>
        <w:t xml:space="preserve">第二十八条  </w:t>
      </w:r>
      <w:r>
        <w:rPr>
          <w:rFonts w:hint="eastAsia" w:ascii="方正仿宋_GBK" w:hAnsi="宋体" w:eastAsia="方正仿宋_GBK" w:cs="宋体"/>
          <w:color w:val="000000"/>
          <w:sz w:val="32"/>
          <w:szCs w:val="32"/>
        </w:rPr>
        <w:t>本办法实施前已经市</w:t>
      </w:r>
      <w:r>
        <w:rPr>
          <w:rFonts w:hint="eastAsia" w:ascii="方正仿宋_GBK" w:hAnsi="宋体" w:eastAsia="方正仿宋_GBK" w:cs="宋体"/>
          <w:color w:val="000000"/>
          <w:sz w:val="32"/>
          <w:szCs w:val="32"/>
          <w:lang w:eastAsia="zh-CN"/>
        </w:rPr>
        <w:t>级</w:t>
      </w:r>
      <w:r>
        <w:rPr>
          <w:rFonts w:hint="eastAsia" w:ascii="方正仿宋_GBK" w:hAnsi="宋体" w:eastAsia="方正仿宋_GBK" w:cs="宋体"/>
          <w:color w:val="000000"/>
          <w:sz w:val="32"/>
          <w:szCs w:val="32"/>
        </w:rPr>
        <w:t>商务主管部门列入南京老字号名录的，按照本办法管理，无需重新申报，但应当按照本办法规定进行定期复核。</w:t>
      </w:r>
    </w:p>
    <w:p>
      <w:pPr>
        <w:snapToGrid w:val="0"/>
        <w:spacing w:line="580" w:lineRule="exact"/>
        <w:ind w:firstLine="640" w:firstLineChars="200"/>
        <w:rPr>
          <w:rFonts w:ascii="方正仿宋_GBK" w:hAnsi="宋体" w:eastAsia="方正仿宋_GBK" w:cs="宋体"/>
          <w:color w:val="000000"/>
          <w:sz w:val="32"/>
          <w:szCs w:val="32"/>
        </w:rPr>
      </w:pPr>
      <w:r>
        <w:rPr>
          <w:rFonts w:hint="eastAsia" w:ascii="方正黑体_GBK" w:hAnsi="宋体" w:eastAsia="方正黑体_GBK" w:cs="宋体"/>
          <w:color w:val="000000"/>
          <w:sz w:val="32"/>
          <w:szCs w:val="32"/>
        </w:rPr>
        <w:t xml:space="preserve">第二十九条  </w:t>
      </w:r>
      <w:r>
        <w:rPr>
          <w:rFonts w:hint="eastAsia" w:ascii="方正仿宋_GBK" w:hAnsi="宋体" w:eastAsia="方正仿宋_GBK" w:cs="宋体"/>
          <w:color w:val="000000"/>
          <w:sz w:val="32"/>
          <w:szCs w:val="32"/>
        </w:rPr>
        <w:t>本办法由市商务主管部门负责解释。</w:t>
      </w:r>
    </w:p>
    <w:p>
      <w:pPr>
        <w:snapToGrid w:val="0"/>
        <w:spacing w:line="580" w:lineRule="exact"/>
        <w:ind w:firstLine="640" w:firstLineChars="200"/>
        <w:rPr>
          <w:rFonts w:ascii="方正仿宋_GBK" w:hAnsi="宋体" w:eastAsia="方正仿宋_GBK" w:cs="宋体"/>
          <w:color w:val="000000"/>
          <w:sz w:val="32"/>
          <w:szCs w:val="32"/>
        </w:rPr>
      </w:pPr>
      <w:r>
        <w:rPr>
          <w:rFonts w:hint="eastAsia" w:ascii="方正黑体_GBK" w:hAnsi="宋体" w:eastAsia="方正黑体_GBK" w:cs="宋体"/>
          <w:color w:val="000000"/>
          <w:sz w:val="32"/>
          <w:szCs w:val="32"/>
        </w:rPr>
        <w:t xml:space="preserve">第三十条  </w:t>
      </w:r>
      <w:r>
        <w:rPr>
          <w:rFonts w:hint="eastAsia" w:ascii="方正仿宋_GBK" w:hAnsi="宋体" w:eastAsia="方正仿宋_GBK" w:cs="宋体"/>
          <w:color w:val="000000"/>
          <w:sz w:val="32"/>
          <w:szCs w:val="32"/>
        </w:rPr>
        <w:t>本办法自2024年X月X日起施行，有效期至2029年X月X日。</w:t>
      </w:r>
      <w:r>
        <w:rPr>
          <w:rFonts w:ascii="方正仿宋_GBK" w:hAnsi="宋体" w:eastAsia="方正仿宋_GBK" w:cs="宋体"/>
          <w:color w:val="000000"/>
          <w:sz w:val="32"/>
          <w:szCs w:val="32"/>
        </w:rPr>
        <w:t>2018年4月作为《关于开展南京老字号认定工作的通知》（宁商流通〔2018〕147号）</w:t>
      </w:r>
      <w:r>
        <w:rPr>
          <w:rFonts w:hint="eastAsia" w:ascii="方正仿宋_GBK" w:hAnsi="宋体" w:eastAsia="方正仿宋_GBK" w:cs="宋体"/>
          <w:color w:val="000000"/>
          <w:sz w:val="32"/>
          <w:szCs w:val="32"/>
        </w:rPr>
        <w:t>附件发布的《南京老字号认定办法（试行）》同时废止。</w:t>
      </w:r>
    </w:p>
    <w:p>
      <w:pPr>
        <w:snapToGrid w:val="0"/>
        <w:spacing w:line="580" w:lineRule="exact"/>
        <w:ind w:firstLine="640" w:firstLineChars="200"/>
        <w:rPr>
          <w:rFonts w:ascii="方正仿宋_GBK" w:hAnsi="宋体" w:eastAsia="方正仿宋_GBK" w:cs="宋体"/>
          <w:color w:val="000000"/>
          <w:sz w:val="32"/>
          <w:szCs w:val="32"/>
        </w:rPr>
      </w:pPr>
    </w:p>
    <w:p>
      <w:pPr>
        <w:snapToGrid w:val="0"/>
        <w:spacing w:line="580" w:lineRule="exact"/>
        <w:ind w:firstLine="640" w:firstLineChars="200"/>
        <w:rPr>
          <w:rFonts w:ascii="方正仿宋_GBK" w:hAnsi="宋体" w:eastAsia="方正仿宋_GBK" w:cs="宋体"/>
          <w:color w:val="000000"/>
          <w:sz w:val="32"/>
          <w:szCs w:val="32"/>
        </w:rPr>
      </w:pPr>
      <w:r>
        <w:rPr>
          <w:rFonts w:hint="eastAsia" w:ascii="方正仿宋_GBK" w:hAnsi="宋体" w:eastAsia="方正仿宋_GBK" w:cs="宋体"/>
          <w:color w:val="000000"/>
          <w:sz w:val="32"/>
          <w:szCs w:val="32"/>
        </w:rPr>
        <w:t>附件：南京老字号标识和牌匾使用管理规定</w:t>
      </w:r>
    </w:p>
    <w:p>
      <w:pPr>
        <w:snapToGrid w:val="0"/>
        <w:spacing w:line="580" w:lineRule="exact"/>
        <w:ind w:firstLine="640" w:firstLineChars="200"/>
        <w:rPr>
          <w:rFonts w:ascii="方正仿宋_GBK" w:hAnsi="宋体" w:eastAsia="方正仿宋_GBK" w:cs="宋体"/>
          <w:color w:val="000000"/>
          <w:sz w:val="32"/>
          <w:szCs w:val="32"/>
        </w:rPr>
      </w:pPr>
    </w:p>
    <w:p>
      <w:pPr>
        <w:snapToGrid w:val="0"/>
        <w:spacing w:line="580" w:lineRule="exact"/>
        <w:rPr>
          <w:rFonts w:ascii="方正黑体_GBK" w:hAnsi="方正黑体_GBK" w:eastAsia="方正黑体_GBK" w:cs="方正黑体_GBK"/>
          <w:sz w:val="32"/>
          <w:szCs w:val="32"/>
        </w:rPr>
      </w:pPr>
      <w:r>
        <w:rPr>
          <w:rFonts w:ascii="方正黑体_GBK" w:hAnsi="宋体" w:eastAsia="方正黑体_GBK" w:cs="宋体"/>
          <w:sz w:val="32"/>
          <w:szCs w:val="32"/>
        </w:rPr>
        <w:br w:type="page"/>
      </w:r>
      <w:bookmarkStart w:id="26" w:name="bookmark45"/>
      <w:bookmarkStart w:id="27" w:name="bookmark46"/>
      <w:bookmarkStart w:id="28" w:name="bookmark47"/>
      <w:r>
        <w:rPr>
          <w:rFonts w:hint="eastAsia" w:ascii="方正黑体_GBK" w:hAnsi="方正黑体_GBK" w:eastAsia="方正黑体_GBK" w:cs="方正黑体_GBK"/>
          <w:sz w:val="32"/>
          <w:szCs w:val="32"/>
        </w:rPr>
        <w:t>附件</w:t>
      </w:r>
    </w:p>
    <w:p>
      <w:pPr>
        <w:snapToGrid w:val="0"/>
        <w:spacing w:line="580" w:lineRule="exact"/>
        <w:jc w:val="center"/>
        <w:rPr>
          <w:rFonts w:ascii="方正小标宋_GBK" w:hAnsi="宋体" w:eastAsia="方正小标宋_GBK" w:cs="宋体"/>
          <w:sz w:val="36"/>
          <w:szCs w:val="36"/>
        </w:rPr>
      </w:pPr>
      <w:r>
        <w:rPr>
          <w:rFonts w:hint="eastAsia" w:ascii="方正小标宋_GBK" w:hAnsi="宋体" w:eastAsia="方正小标宋_GBK" w:cs="宋体"/>
          <w:sz w:val="36"/>
          <w:szCs w:val="36"/>
        </w:rPr>
        <w:t>南京老字号标识和牌</w:t>
      </w:r>
      <w:r>
        <w:rPr>
          <w:rFonts w:hint="eastAsia" w:ascii="方正小标宋_GBK" w:eastAsia="方正小标宋_GBK"/>
          <w:sz w:val="36"/>
          <w:szCs w:val="36"/>
        </w:rPr>
        <w:t>匾</w:t>
      </w:r>
      <w:r>
        <w:rPr>
          <w:rFonts w:hint="eastAsia" w:ascii="方正小标宋_GBK" w:hAnsi="宋体" w:eastAsia="方正小标宋_GBK" w:cs="宋体"/>
          <w:sz w:val="36"/>
          <w:szCs w:val="36"/>
        </w:rPr>
        <w:t>使用管理规定</w:t>
      </w:r>
      <w:bookmarkEnd w:id="26"/>
      <w:bookmarkEnd w:id="27"/>
      <w:bookmarkEnd w:id="28"/>
    </w:p>
    <w:p>
      <w:pPr>
        <w:snapToGrid w:val="0"/>
        <w:spacing w:line="580" w:lineRule="exact"/>
        <w:rPr>
          <w:rFonts w:ascii="方正小标宋_GBK" w:eastAsia="方正小标宋_GBK"/>
          <w:sz w:val="36"/>
          <w:szCs w:val="36"/>
        </w:rPr>
      </w:pPr>
    </w:p>
    <w:p>
      <w:pPr>
        <w:snapToGrid w:val="0"/>
        <w:spacing w:line="580" w:lineRule="exact"/>
        <w:ind w:firstLine="640" w:firstLineChars="200"/>
        <w:rPr>
          <w:rFonts w:ascii="方正仿宋_GBK" w:eastAsia="方正仿宋_GBK"/>
          <w:color w:val="000000"/>
          <w:sz w:val="32"/>
          <w:szCs w:val="32"/>
        </w:rPr>
      </w:pPr>
      <w:r>
        <w:rPr>
          <w:rFonts w:hint="eastAsia" w:ascii="黑体" w:hAnsi="黑体" w:eastAsia="黑体" w:cs="宋体"/>
          <w:color w:val="000000"/>
          <w:sz w:val="32"/>
          <w:szCs w:val="32"/>
        </w:rPr>
        <w:t xml:space="preserve">第一条  </w:t>
      </w:r>
      <w:r>
        <w:rPr>
          <w:rFonts w:hint="eastAsia" w:ascii="方正仿宋_GBK" w:hAnsi="宋体" w:eastAsia="方正仿宋_GBK" w:cs="宋体"/>
          <w:color w:val="000000"/>
          <w:sz w:val="32"/>
          <w:szCs w:val="32"/>
        </w:rPr>
        <w:t>为维护南京老字号信誉，加强对南京老字号标识和牌匾的管理，规范南京老字号标识和牌匾的使用，依据《南京老字号建设管理管理办法》，制定本规定。</w:t>
      </w:r>
    </w:p>
    <w:p>
      <w:pPr>
        <w:snapToGrid w:val="0"/>
        <w:spacing w:line="580" w:lineRule="exact"/>
        <w:ind w:firstLine="640" w:firstLineChars="200"/>
        <w:rPr>
          <w:rFonts w:ascii="方正仿宋_GBK" w:eastAsia="方正仿宋_GBK"/>
          <w:color w:val="000000"/>
          <w:sz w:val="32"/>
          <w:szCs w:val="32"/>
        </w:rPr>
      </w:pPr>
      <w:r>
        <w:rPr>
          <w:rFonts w:hint="eastAsia" w:ascii="黑体" w:hAnsi="黑体" w:eastAsia="黑体" w:cs="宋体"/>
          <w:color w:val="000000"/>
          <w:sz w:val="32"/>
          <w:szCs w:val="32"/>
        </w:rPr>
        <w:t xml:space="preserve">第二条  </w:t>
      </w:r>
      <w:r>
        <w:rPr>
          <w:rFonts w:hint="eastAsia" w:ascii="方正仿宋_GBK" w:hAnsi="宋体" w:eastAsia="方正仿宋_GBK" w:cs="宋体"/>
          <w:color w:val="000000"/>
          <w:sz w:val="32"/>
          <w:szCs w:val="32"/>
        </w:rPr>
        <w:t>南京老字号标识和牌匾的使用应当遵循本规定。</w:t>
      </w:r>
    </w:p>
    <w:p>
      <w:pPr>
        <w:snapToGrid w:val="0"/>
        <w:spacing w:line="580" w:lineRule="exact"/>
        <w:ind w:firstLine="640" w:firstLineChars="200"/>
        <w:rPr>
          <w:rFonts w:ascii="方正仿宋_GBK" w:eastAsia="方正仿宋_GBK"/>
          <w:color w:val="000000"/>
          <w:sz w:val="32"/>
          <w:szCs w:val="32"/>
        </w:rPr>
      </w:pPr>
      <w:r>
        <w:rPr>
          <w:rFonts w:hint="eastAsia" w:ascii="黑体" w:hAnsi="黑体" w:eastAsia="黑体" w:cs="宋体"/>
          <w:color w:val="000000"/>
          <w:sz w:val="32"/>
          <w:szCs w:val="32"/>
        </w:rPr>
        <w:t xml:space="preserve">第三条  </w:t>
      </w:r>
      <w:r>
        <w:rPr>
          <w:rFonts w:hint="eastAsia" w:ascii="方正仿宋_GBK" w:hAnsi="宋体" w:eastAsia="方正仿宋_GBK" w:cs="宋体"/>
          <w:color w:val="000000"/>
          <w:sz w:val="32"/>
          <w:szCs w:val="32"/>
        </w:rPr>
        <w:t>南京市商务主管部门对南京老字号标识和牌匾的使用实行统一管理和监督。区级商务主管部门按照职责分工对本辖区域内南京老字号标识和牌匾的使用进行管理与监督。</w:t>
      </w:r>
    </w:p>
    <w:p>
      <w:pPr>
        <w:snapToGrid w:val="0"/>
        <w:spacing w:line="580" w:lineRule="exact"/>
        <w:ind w:firstLine="640" w:firstLineChars="200"/>
        <w:rPr>
          <w:rFonts w:ascii="方正仿宋_GBK" w:eastAsia="方正仿宋_GBK"/>
          <w:color w:val="000000"/>
          <w:sz w:val="32"/>
          <w:szCs w:val="32"/>
        </w:rPr>
      </w:pPr>
      <w:r>
        <w:rPr>
          <w:rFonts w:hint="eastAsia" w:ascii="黑体" w:hAnsi="黑体" w:eastAsia="黑体" w:cs="宋体"/>
          <w:color w:val="000000"/>
          <w:sz w:val="32"/>
          <w:szCs w:val="32"/>
        </w:rPr>
        <w:t xml:space="preserve">第四条  </w:t>
      </w:r>
      <w:r>
        <w:rPr>
          <w:rFonts w:hint="eastAsia" w:ascii="方正仿宋_GBK" w:hAnsi="宋体" w:eastAsia="方正仿宋_GBK" w:cs="宋体"/>
          <w:color w:val="000000"/>
          <w:sz w:val="32"/>
          <w:szCs w:val="32"/>
        </w:rPr>
        <w:t>南京老字号标识适用于南京商务主管部门认定的南京老字号及南京老字号企业。未被认定为南京老字号的企业或个人，不得使用南京老字号标识和文字。</w:t>
      </w:r>
    </w:p>
    <w:p>
      <w:pPr>
        <w:snapToGrid w:val="0"/>
        <w:spacing w:line="580" w:lineRule="exact"/>
        <w:ind w:firstLine="640" w:firstLineChars="200"/>
        <w:rPr>
          <w:rFonts w:ascii="方正仿宋_GBK" w:eastAsia="方正仿宋_GBK"/>
          <w:color w:val="000000"/>
          <w:sz w:val="32"/>
          <w:szCs w:val="32"/>
        </w:rPr>
      </w:pPr>
      <w:r>
        <w:rPr>
          <w:rFonts w:hint="eastAsia" w:ascii="黑体" w:hAnsi="黑体" w:eastAsia="黑体" w:cs="宋体"/>
          <w:color w:val="000000"/>
          <w:sz w:val="32"/>
          <w:szCs w:val="32"/>
        </w:rPr>
        <w:t xml:space="preserve">第五条  </w:t>
      </w:r>
      <w:r>
        <w:rPr>
          <w:rFonts w:hint="eastAsia" w:ascii="方正仿宋_GBK" w:hAnsi="宋体" w:eastAsia="方正仿宋_GBK" w:cs="宋体"/>
          <w:color w:val="000000"/>
          <w:sz w:val="32"/>
          <w:szCs w:val="32"/>
        </w:rPr>
        <w:t>南京老字号标识属南京市商务主管部门所有，由标准图形和</w:t>
      </w:r>
      <w:r>
        <w:rPr>
          <w:rFonts w:hint="eastAsia" w:ascii="方正仿宋_GBK" w:eastAsia="方正仿宋_GBK"/>
          <w:color w:val="000000"/>
          <w:sz w:val="32"/>
          <w:szCs w:val="32"/>
        </w:rPr>
        <w:t>“</w:t>
      </w:r>
      <w:r>
        <w:rPr>
          <w:rFonts w:hint="eastAsia" w:ascii="方正仿宋_GBK" w:hAnsi="宋体" w:eastAsia="方正仿宋_GBK" w:cs="宋体"/>
          <w:color w:val="000000"/>
          <w:sz w:val="32"/>
          <w:szCs w:val="32"/>
        </w:rPr>
        <w:t>南京老字号”中英文文字组成。南京老字号标识标准格式详见附件。</w:t>
      </w:r>
    </w:p>
    <w:p>
      <w:pPr>
        <w:snapToGrid w:val="0"/>
        <w:spacing w:line="580" w:lineRule="exact"/>
        <w:ind w:firstLine="640" w:firstLineChars="200"/>
        <w:rPr>
          <w:rFonts w:ascii="方正仿宋_GBK" w:eastAsia="方正仿宋_GBK"/>
          <w:color w:val="000000"/>
          <w:sz w:val="32"/>
          <w:szCs w:val="32"/>
        </w:rPr>
      </w:pPr>
      <w:r>
        <w:rPr>
          <w:rFonts w:hint="eastAsia" w:ascii="黑体" w:hAnsi="黑体" w:eastAsia="黑体" w:cs="宋体"/>
          <w:color w:val="000000"/>
          <w:sz w:val="32"/>
          <w:szCs w:val="32"/>
        </w:rPr>
        <w:t xml:space="preserve">第六条  </w:t>
      </w:r>
      <w:r>
        <w:rPr>
          <w:rFonts w:hint="eastAsia" w:ascii="方正仿宋_GBK" w:hAnsi="宋体" w:eastAsia="方正仿宋_GBK" w:cs="宋体"/>
          <w:color w:val="000000"/>
          <w:sz w:val="32"/>
          <w:szCs w:val="32"/>
        </w:rPr>
        <w:t>南京老字号企业可以在相应产品或服务的包装、装潢、各类资料、广告宣传及互联网等媒介中使用统一规定的南京老字号标识。</w:t>
      </w:r>
    </w:p>
    <w:p>
      <w:pPr>
        <w:snapToGrid w:val="0"/>
        <w:spacing w:line="580" w:lineRule="exact"/>
        <w:ind w:firstLine="640" w:firstLineChars="200"/>
        <w:rPr>
          <w:rFonts w:ascii="方正仿宋_GBK" w:eastAsia="方正仿宋_GBK"/>
          <w:color w:val="000000"/>
          <w:sz w:val="32"/>
          <w:szCs w:val="32"/>
        </w:rPr>
      </w:pPr>
      <w:r>
        <w:rPr>
          <w:rFonts w:hint="eastAsia" w:ascii="黑体" w:hAnsi="黑体" w:eastAsia="黑体" w:cs="宋体"/>
          <w:color w:val="000000"/>
          <w:sz w:val="32"/>
          <w:szCs w:val="32"/>
        </w:rPr>
        <w:t xml:space="preserve">第七条  </w:t>
      </w:r>
      <w:r>
        <w:rPr>
          <w:rFonts w:hint="eastAsia" w:ascii="方正仿宋_GBK" w:hAnsi="宋体" w:eastAsia="方正仿宋_GBK" w:cs="宋体"/>
          <w:color w:val="000000"/>
          <w:sz w:val="32"/>
          <w:szCs w:val="32"/>
        </w:rPr>
        <w:t>南京老字号标识只能用于与南京老字号相一致的产品或服务上，以其老字号注册商标核定使用的商品或服务为限，并应明显标注获得认定的企业名称，不得扩大使用范围。同时，应符合《商标法》《广告法》等相关法律法规要求。</w:t>
      </w:r>
    </w:p>
    <w:p>
      <w:pPr>
        <w:snapToGrid w:val="0"/>
        <w:spacing w:line="580" w:lineRule="exact"/>
        <w:ind w:firstLine="640" w:firstLineChars="200"/>
        <w:rPr>
          <w:rFonts w:ascii="方正仿宋_GBK" w:eastAsia="方正仿宋_GBK"/>
          <w:color w:val="000000"/>
          <w:sz w:val="32"/>
          <w:szCs w:val="32"/>
        </w:rPr>
      </w:pPr>
      <w:r>
        <w:rPr>
          <w:rFonts w:hint="eastAsia" w:ascii="黑体" w:hAnsi="黑体" w:eastAsia="黑体" w:cs="宋体"/>
          <w:color w:val="000000"/>
          <w:sz w:val="32"/>
          <w:szCs w:val="32"/>
        </w:rPr>
        <w:t xml:space="preserve">第八条  </w:t>
      </w:r>
      <w:r>
        <w:rPr>
          <w:rFonts w:hint="eastAsia" w:ascii="方正仿宋_GBK" w:hAnsi="宋体" w:eastAsia="方正仿宋_GBK" w:cs="宋体"/>
          <w:color w:val="000000"/>
          <w:sz w:val="32"/>
          <w:szCs w:val="32"/>
        </w:rPr>
        <w:t>南京老字号标识在使用时，必须根据规定式样使用，可按比例放大或缩小，但不得更改标识的比例关系和色值。</w:t>
      </w:r>
    </w:p>
    <w:p>
      <w:pPr>
        <w:snapToGrid w:val="0"/>
        <w:spacing w:line="580" w:lineRule="exact"/>
        <w:ind w:firstLine="640" w:firstLineChars="200"/>
        <w:rPr>
          <w:rFonts w:ascii="方正仿宋_GBK" w:eastAsia="方正仿宋_GBK"/>
          <w:color w:val="000000"/>
          <w:sz w:val="32"/>
          <w:szCs w:val="32"/>
        </w:rPr>
      </w:pPr>
      <w:r>
        <w:rPr>
          <w:rFonts w:hint="eastAsia" w:ascii="黑体" w:hAnsi="黑体" w:eastAsia="黑体" w:cs="宋体"/>
          <w:color w:val="000000"/>
          <w:sz w:val="32"/>
          <w:szCs w:val="32"/>
        </w:rPr>
        <w:t xml:space="preserve">第九条  </w:t>
      </w:r>
      <w:r>
        <w:rPr>
          <w:rFonts w:hint="eastAsia" w:ascii="方正仿宋_GBK" w:hAnsi="宋体" w:eastAsia="方正仿宋_GBK" w:cs="宋体"/>
          <w:color w:val="000000"/>
          <w:sz w:val="32"/>
          <w:szCs w:val="32"/>
        </w:rPr>
        <w:t>南京老字号标识在印刷时，附着媒介的底色不得影响标识的标准色值，不得透叠其他色彩和图案。</w:t>
      </w:r>
    </w:p>
    <w:p>
      <w:pPr>
        <w:snapToGrid w:val="0"/>
        <w:spacing w:line="580" w:lineRule="exact"/>
        <w:ind w:firstLine="640" w:firstLineChars="200"/>
        <w:rPr>
          <w:rFonts w:ascii="方正仿宋_GBK" w:eastAsia="方正仿宋_GBK"/>
          <w:color w:val="000000"/>
          <w:sz w:val="32"/>
          <w:szCs w:val="32"/>
        </w:rPr>
      </w:pPr>
      <w:r>
        <w:rPr>
          <w:rFonts w:hint="eastAsia" w:ascii="黑体" w:hAnsi="黑体" w:eastAsia="黑体" w:cs="宋体"/>
          <w:color w:val="000000"/>
          <w:sz w:val="32"/>
          <w:szCs w:val="32"/>
        </w:rPr>
        <w:t xml:space="preserve">第十条  </w:t>
      </w:r>
      <w:r>
        <w:rPr>
          <w:rFonts w:hint="eastAsia" w:ascii="方正仿宋_GBK" w:hAnsi="宋体" w:eastAsia="方正仿宋_GBK" w:cs="宋体"/>
          <w:color w:val="000000"/>
          <w:sz w:val="32"/>
          <w:szCs w:val="32"/>
        </w:rPr>
        <w:t>市</w:t>
      </w:r>
      <w:r>
        <w:rPr>
          <w:rFonts w:hint="eastAsia" w:ascii="方正仿宋_GBK" w:hAnsi="宋体" w:eastAsia="方正仿宋_GBK" w:cs="宋体"/>
          <w:color w:val="000000"/>
          <w:sz w:val="32"/>
          <w:szCs w:val="32"/>
          <w:lang w:eastAsia="zh-CN"/>
        </w:rPr>
        <w:t>级</w:t>
      </w:r>
      <w:r>
        <w:rPr>
          <w:rFonts w:hint="eastAsia" w:ascii="方正仿宋_GBK" w:hAnsi="宋体" w:eastAsia="方正仿宋_GBK" w:cs="宋体"/>
          <w:color w:val="000000"/>
          <w:sz w:val="32"/>
          <w:szCs w:val="32"/>
        </w:rPr>
        <w:t>商务主管部门统一制作和颁发南京老字号牌匾，未经许可，任何组织或个人不得自行制作、伪造、变造、销售或冒用。</w:t>
      </w:r>
    </w:p>
    <w:p>
      <w:pPr>
        <w:snapToGrid w:val="0"/>
        <w:spacing w:line="580" w:lineRule="exact"/>
        <w:ind w:firstLine="640" w:firstLineChars="200"/>
        <w:rPr>
          <w:rFonts w:ascii="方正仿宋_GBK" w:eastAsia="方正仿宋_GBK"/>
          <w:color w:val="000000"/>
          <w:sz w:val="32"/>
          <w:szCs w:val="32"/>
        </w:rPr>
      </w:pPr>
      <w:r>
        <w:rPr>
          <w:rFonts w:hint="eastAsia" w:ascii="黑体" w:hAnsi="黑体" w:eastAsia="黑体" w:cs="宋体"/>
          <w:color w:val="000000"/>
          <w:sz w:val="32"/>
          <w:szCs w:val="32"/>
        </w:rPr>
        <w:t xml:space="preserve">第十一条  </w:t>
      </w:r>
      <w:r>
        <w:rPr>
          <w:rFonts w:hint="eastAsia" w:ascii="方正仿宋_GBK" w:hAnsi="宋体" w:eastAsia="方正仿宋_GBK" w:cs="宋体"/>
          <w:color w:val="000000"/>
          <w:sz w:val="32"/>
          <w:szCs w:val="32"/>
        </w:rPr>
        <w:t>南京老字号牌匾不得复制。</w:t>
      </w:r>
    </w:p>
    <w:p>
      <w:pPr>
        <w:snapToGrid w:val="0"/>
        <w:spacing w:line="580" w:lineRule="exact"/>
        <w:ind w:firstLine="640" w:firstLineChars="200"/>
        <w:rPr>
          <w:rFonts w:ascii="方正仿宋_GBK" w:eastAsia="方正仿宋_GBK"/>
          <w:color w:val="000000"/>
          <w:sz w:val="32"/>
          <w:szCs w:val="32"/>
        </w:rPr>
      </w:pPr>
      <w:r>
        <w:rPr>
          <w:rFonts w:hint="eastAsia" w:ascii="黑体" w:hAnsi="黑体" w:eastAsia="黑体" w:cs="宋体"/>
          <w:color w:val="000000"/>
          <w:sz w:val="32"/>
          <w:szCs w:val="32"/>
        </w:rPr>
        <w:t xml:space="preserve">第十二条  </w:t>
      </w:r>
      <w:r>
        <w:rPr>
          <w:rFonts w:hint="eastAsia" w:ascii="方正仿宋_GBK" w:hAnsi="宋体" w:eastAsia="方正仿宋_GBK" w:cs="宋体"/>
          <w:color w:val="000000"/>
          <w:sz w:val="32"/>
          <w:szCs w:val="32"/>
        </w:rPr>
        <w:t>南京老字号牌匾应悬挂或放置于南京老字号企业主要办公或经营场所，牌匾需保持牢固安全、整洁、美观，任何组织或个人不得随意侵占、污损、破坏牌匾。涉及不可移动文物的，悬挂、放置牌匾不得破坏文物。</w:t>
      </w:r>
    </w:p>
    <w:p>
      <w:pPr>
        <w:snapToGrid w:val="0"/>
        <w:spacing w:line="580" w:lineRule="exact"/>
        <w:ind w:firstLine="640" w:firstLineChars="200"/>
        <w:rPr>
          <w:rFonts w:ascii="方正仿宋_GBK" w:eastAsia="方正仿宋_GBK"/>
          <w:color w:val="000000"/>
          <w:sz w:val="32"/>
          <w:szCs w:val="32"/>
        </w:rPr>
        <w:sectPr>
          <w:footerReference r:id="rId5" w:type="first"/>
          <w:footerReference r:id="rId4" w:type="default"/>
          <w:pgSz w:w="11900" w:h="16840"/>
          <w:pgMar w:top="2098" w:right="1588" w:bottom="1417" w:left="1588" w:header="850" w:footer="1134" w:gutter="0"/>
          <w:cols w:space="720" w:num="1"/>
          <w:docGrid w:linePitch="360" w:charSpace="0"/>
        </w:sectPr>
      </w:pPr>
      <w:r>
        <w:rPr>
          <w:rFonts w:hint="eastAsia" w:ascii="黑体" w:hAnsi="黑体" w:eastAsia="黑体" w:cs="宋体"/>
          <w:color w:val="000000"/>
          <w:sz w:val="32"/>
          <w:szCs w:val="32"/>
        </w:rPr>
        <w:t xml:space="preserve">第十三条  </w:t>
      </w:r>
      <w:r>
        <w:rPr>
          <w:rFonts w:hint="eastAsia" w:ascii="方正仿宋_GBK" w:hAnsi="宋体" w:eastAsia="方正仿宋_GBK" w:cs="宋体"/>
          <w:color w:val="000000"/>
          <w:sz w:val="32"/>
          <w:szCs w:val="32"/>
        </w:rPr>
        <w:t>被南京市商务主管部门移出南京老字号名录并收回南京老字号标识使用权及牌匾的企业，自市商务主管部门作出决定之日起，停止使用南京老字号标识，并负责清理自身使用的有关南京老字号标识。南京老字号牌匾由所在区级商务主管部门负责收回，交回南京市商务主管部门统一注销和销毁。</w:t>
      </w:r>
    </w:p>
    <w:p>
      <w:pPr>
        <w:snapToGrid w:val="0"/>
        <w:spacing w:line="580" w:lineRule="exact"/>
        <w:ind w:firstLine="640" w:firstLineChars="200"/>
        <w:rPr>
          <w:rFonts w:ascii="方正仿宋_GBK" w:eastAsia="方正仿宋_GBK"/>
          <w:color w:val="000000"/>
          <w:sz w:val="32"/>
          <w:szCs w:val="32"/>
          <w:highlight w:val="yellow"/>
        </w:rPr>
      </w:pPr>
      <w:r>
        <w:rPr>
          <w:rFonts w:hint="eastAsia" w:ascii="黑体" w:hAnsi="黑体" w:eastAsia="黑体" w:cs="宋体"/>
          <w:color w:val="000000"/>
          <w:sz w:val="32"/>
          <w:szCs w:val="32"/>
        </w:rPr>
        <w:t xml:space="preserve">第十四条  </w:t>
      </w:r>
      <w:r>
        <w:rPr>
          <w:rFonts w:hint="eastAsia" w:ascii="方正仿宋_GBK" w:hAnsi="宋体" w:eastAsia="方正仿宋_GBK" w:cs="宋体"/>
          <w:color w:val="000000"/>
          <w:sz w:val="32"/>
          <w:szCs w:val="32"/>
        </w:rPr>
        <w:t>南京老字号企业的企业名称和注册商标人名义发生变更后，南京老字号标识和牌匾的使用权随之变更，但须按照《南京老字号建设管理管理办法》规定报南京市商务主管部门备案。</w:t>
      </w:r>
    </w:p>
    <w:p>
      <w:pPr>
        <w:spacing w:line="560" w:lineRule="exact"/>
        <w:ind w:firstLine="640" w:firstLineChars="200"/>
        <w:rPr>
          <w:rFonts w:ascii="方正黑体_GBK" w:hAnsi="方正黑体_GBK" w:eastAsia="方正黑体_GBK" w:cs="方正黑体_GBK"/>
          <w:sz w:val="32"/>
          <w:szCs w:val="32"/>
        </w:rPr>
      </w:pPr>
    </w:p>
    <w:p>
      <w:pPr>
        <w:spacing w:line="560" w:lineRule="exact"/>
        <w:ind w:firstLine="640" w:firstLineChars="200"/>
        <w:rPr>
          <w:rFonts w:ascii="方正黑体_GBK" w:hAnsi="方正黑体_GBK" w:eastAsia="方正黑体_GBK" w:cs="方正黑体_GBK"/>
          <w:sz w:val="32"/>
          <w:szCs w:val="32"/>
        </w:rPr>
      </w:pPr>
    </w:p>
    <w:p>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附件：南京老字号标识标准式样</w:t>
      </w:r>
    </w:p>
    <w:p>
      <w:pPr>
        <w:spacing w:line="600" w:lineRule="exact"/>
        <w:ind w:firstLine="640" w:firstLineChars="200"/>
        <w:rPr>
          <w:rFonts w:ascii="方正仿宋_GBK" w:eastAsia="方正仿宋_GBK"/>
          <w:sz w:val="32"/>
          <w:szCs w:val="32"/>
        </w:rPr>
      </w:pPr>
    </w:p>
    <w:p>
      <w:pPr>
        <w:spacing w:line="600" w:lineRule="exact"/>
        <w:ind w:firstLine="640" w:firstLineChars="200"/>
        <w:rPr>
          <w:rFonts w:ascii="方正黑体_GBK" w:hAnsi="宋体" w:eastAsia="方正黑体_GBK" w:cs="宋体"/>
          <w:sz w:val="32"/>
          <w:szCs w:val="32"/>
        </w:rPr>
      </w:pPr>
    </w:p>
    <w:p>
      <w:pPr>
        <w:spacing w:line="600" w:lineRule="exact"/>
        <w:ind w:firstLine="640" w:firstLineChars="200"/>
        <w:rPr>
          <w:rFonts w:ascii="方正黑体_GBK" w:hAnsi="宋体" w:eastAsia="方正黑体_GBK" w:cs="宋体"/>
          <w:sz w:val="32"/>
          <w:szCs w:val="32"/>
        </w:rPr>
      </w:pPr>
    </w:p>
    <w:p>
      <w:pPr>
        <w:spacing w:line="600" w:lineRule="exact"/>
        <w:ind w:firstLine="640" w:firstLineChars="200"/>
        <w:rPr>
          <w:rFonts w:ascii="方正黑体_GBK" w:hAnsi="宋体" w:eastAsia="方正黑体_GBK" w:cs="宋体"/>
          <w:sz w:val="32"/>
          <w:szCs w:val="32"/>
        </w:rPr>
      </w:pPr>
      <w:r>
        <w:rPr>
          <w:rFonts w:hint="eastAsia" w:ascii="方正黑体_GBK" w:hAnsi="宋体" w:eastAsia="方正黑体_GBK" w:cs="宋体"/>
          <w:kern w:val="2"/>
          <w:sz w:val="32"/>
          <w:szCs w:val="32"/>
          <w:lang w:val="en-US" w:eastAsia="zh-CN" w:bidi="ar-SA"/>
        </w:rPr>
        <w:pict>
          <v:shape id="图片 1" o:spid="_x0000_s1028" type="#_x0000_t75" style="position:absolute;left:0;margin-left:-7.2pt;margin-top:-57.95pt;height:280.45pt;width:436.75pt;rotation:0f;z-index:251658240;" o:ole="f" fillcolor="#FFFFFF" filled="f" o:preferrelative="t" stroked="f" coordorigin="0,0" coordsize="21600,21600">
            <v:fill on="f" color2="#FFFFFF" focus="0%"/>
            <v:imagedata gain="65536f" blacklevel="0f" gamma="0" o:title="" r:id="rId7"/>
            <o:lock v:ext="edit" position="f" selection="f" grouping="f" rotation="f" cropping="f" text="f" aspectratio="t"/>
          </v:shape>
        </w:pict>
      </w:r>
    </w:p>
    <w:p>
      <w:pPr>
        <w:spacing w:line="600" w:lineRule="exact"/>
        <w:ind w:firstLine="640" w:firstLineChars="200"/>
        <w:rPr>
          <w:rFonts w:ascii="方正黑体_GBK" w:hAnsi="宋体" w:eastAsia="方正黑体_GBK" w:cs="宋体"/>
          <w:sz w:val="32"/>
          <w:szCs w:val="32"/>
        </w:rPr>
      </w:pPr>
    </w:p>
    <w:p>
      <w:pPr>
        <w:spacing w:line="600" w:lineRule="exact"/>
        <w:ind w:firstLine="640" w:firstLineChars="200"/>
        <w:rPr>
          <w:rFonts w:ascii="方正黑体_GBK" w:hAnsi="宋体" w:eastAsia="方正黑体_GBK" w:cs="宋体"/>
          <w:sz w:val="32"/>
          <w:szCs w:val="32"/>
        </w:rPr>
      </w:pPr>
    </w:p>
    <w:p>
      <w:pPr>
        <w:spacing w:line="600" w:lineRule="exact"/>
        <w:ind w:firstLine="640" w:firstLineChars="200"/>
        <w:rPr>
          <w:rFonts w:ascii="方正黑体_GBK" w:hAnsi="宋体" w:eastAsia="方正黑体_GBK" w:cs="宋体"/>
          <w:sz w:val="32"/>
          <w:szCs w:val="32"/>
        </w:rPr>
      </w:pPr>
    </w:p>
    <w:p>
      <w:pPr>
        <w:spacing w:line="600" w:lineRule="exact"/>
        <w:ind w:firstLine="640" w:firstLineChars="200"/>
        <w:rPr>
          <w:rFonts w:ascii="方正黑体_GBK" w:hAnsi="宋体" w:eastAsia="方正黑体_GBK" w:cs="宋体"/>
          <w:sz w:val="32"/>
          <w:szCs w:val="32"/>
        </w:rPr>
      </w:pPr>
    </w:p>
    <w:p>
      <w:pPr>
        <w:adjustRightInd w:val="0"/>
        <w:snapToGrid w:val="0"/>
        <w:spacing w:line="580" w:lineRule="exact"/>
        <w:rPr>
          <w:rFonts w:ascii="方正仿宋_GBK" w:eastAsia="方正仿宋_GBK"/>
          <w:sz w:val="32"/>
          <w:szCs w:val="32"/>
        </w:rPr>
      </w:pPr>
    </w:p>
    <w:p>
      <w:pPr>
        <w:adjustRightInd w:val="0"/>
        <w:snapToGrid w:val="0"/>
        <w:spacing w:line="580" w:lineRule="exact"/>
        <w:rPr>
          <w:rFonts w:ascii="方正仿宋_GBK" w:eastAsia="方正仿宋_GBK"/>
          <w:sz w:val="32"/>
          <w:szCs w:val="32"/>
        </w:rPr>
      </w:pPr>
    </w:p>
    <w:p>
      <w:pPr>
        <w:adjustRightInd w:val="0"/>
        <w:snapToGrid w:val="0"/>
        <w:spacing w:line="580" w:lineRule="exact"/>
        <w:rPr>
          <w:rFonts w:ascii="方正仿宋_GBK" w:eastAsia="方正仿宋_GBK"/>
          <w:sz w:val="32"/>
          <w:szCs w:val="32"/>
        </w:rPr>
      </w:pPr>
    </w:p>
    <w:p>
      <w:pPr>
        <w:adjustRightInd w:val="0"/>
        <w:snapToGrid w:val="0"/>
        <w:spacing w:line="580" w:lineRule="exact"/>
        <w:rPr>
          <w:rFonts w:ascii="方正仿宋_GBK" w:eastAsia="方正仿宋_GBK"/>
          <w:sz w:val="32"/>
          <w:szCs w:val="32"/>
        </w:rPr>
      </w:pPr>
    </w:p>
    <w:p>
      <w:pPr>
        <w:adjustRightInd w:val="0"/>
        <w:snapToGrid w:val="0"/>
        <w:spacing w:line="580" w:lineRule="exact"/>
        <w:rPr>
          <w:rFonts w:ascii="方正仿宋_GBK" w:eastAsia="方正仿宋_GBK"/>
          <w:sz w:val="32"/>
          <w:szCs w:val="32"/>
        </w:rPr>
      </w:pPr>
    </w:p>
    <w:p>
      <w:pPr>
        <w:adjustRightInd w:val="0"/>
        <w:snapToGrid w:val="0"/>
        <w:spacing w:line="580" w:lineRule="exact"/>
        <w:rPr>
          <w:rFonts w:ascii="方正仿宋_GBK" w:eastAsia="方正仿宋_GBK"/>
          <w:sz w:val="32"/>
          <w:szCs w:val="32"/>
        </w:rPr>
      </w:pPr>
    </w:p>
    <w:p>
      <w:pPr>
        <w:adjustRightInd w:val="0"/>
        <w:snapToGrid w:val="0"/>
        <w:spacing w:line="580" w:lineRule="exact"/>
        <w:rPr>
          <w:rFonts w:ascii="方正仿宋_GBK" w:eastAsia="方正仿宋_GBK"/>
          <w:sz w:val="32"/>
          <w:szCs w:val="32"/>
        </w:rPr>
      </w:pPr>
    </w:p>
    <w:sectPr>
      <w:pgSz w:w="11906" w:h="16838"/>
      <w:pgMar w:top="2098" w:right="1588" w:bottom="170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line="1" w:lineRule="exact"/>
    </w:pPr>
    <w:r>
      <w:rPr>
        <w:rFonts w:ascii="Calibri" w:hAnsi="Calibri" w:eastAsia="宋体" w:cs="黑体"/>
        <w:kern w:val="2"/>
        <w:sz w:val="21"/>
        <w:szCs w:val="22"/>
        <w:lang w:val="en-US" w:eastAsia="zh-CN" w:bidi="ar-SA"/>
      </w:rPr>
      <w:pict>
        <v:shape id="文本框 43"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2"/>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line="1" w:lineRule="exact"/>
    </w:pPr>
    <w:r>
      <w:rPr>
        <w:rFonts w:ascii="Calibri" w:hAnsi="Calibri" w:eastAsia="宋体" w:cs="黑体"/>
        <w:kern w:val="2"/>
        <w:sz w:val="21"/>
        <w:szCs w:val="22"/>
        <w:lang w:val="en-US" w:eastAsia="zh-CN" w:bidi="ar-SA"/>
      </w:rPr>
      <w:pict>
        <v:shape id="文本框 44" o:spid="_x0000_s1026" type="#_x0000_t202" style="position:absolute;left:0;margin-top:0pt;height:144pt;width:144pt;mso-position-horizontal:center;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YmQ3NjQxYmZmN2ZkODIxYWNiNTEzMzQyMTZmNzQ1MmMifQ=="/>
  </w:docVars>
  <w:rsids>
    <w:rsidRoot w:val="00AE5DA4"/>
    <w:rsid w:val="0006501A"/>
    <w:rsid w:val="000C1589"/>
    <w:rsid w:val="000F516D"/>
    <w:rsid w:val="00195575"/>
    <w:rsid w:val="002D4311"/>
    <w:rsid w:val="002D7C19"/>
    <w:rsid w:val="00540BEC"/>
    <w:rsid w:val="00567D95"/>
    <w:rsid w:val="005C3E8C"/>
    <w:rsid w:val="00951F03"/>
    <w:rsid w:val="00964916"/>
    <w:rsid w:val="00995F64"/>
    <w:rsid w:val="00AB79D3"/>
    <w:rsid w:val="00AE5DA4"/>
    <w:rsid w:val="00B23BB5"/>
    <w:rsid w:val="00B415DE"/>
    <w:rsid w:val="00CF5680"/>
    <w:rsid w:val="00DB5E60"/>
    <w:rsid w:val="00DC0E0E"/>
    <w:rsid w:val="00E46EDA"/>
    <w:rsid w:val="00F605F0"/>
    <w:rsid w:val="00F63998"/>
    <w:rsid w:val="050B287F"/>
    <w:rsid w:val="057228FE"/>
    <w:rsid w:val="05AE756B"/>
    <w:rsid w:val="08D025B5"/>
    <w:rsid w:val="09F62C99"/>
    <w:rsid w:val="0C3E353A"/>
    <w:rsid w:val="0DB52EF3"/>
    <w:rsid w:val="0F7B4AA5"/>
    <w:rsid w:val="0FB36066"/>
    <w:rsid w:val="1065460B"/>
    <w:rsid w:val="10AA61E9"/>
    <w:rsid w:val="11F76665"/>
    <w:rsid w:val="12C8414C"/>
    <w:rsid w:val="13936861"/>
    <w:rsid w:val="157A169B"/>
    <w:rsid w:val="165D7DCE"/>
    <w:rsid w:val="17CA65CA"/>
    <w:rsid w:val="1910535A"/>
    <w:rsid w:val="1A023DF9"/>
    <w:rsid w:val="1A331BC8"/>
    <w:rsid w:val="1A907657"/>
    <w:rsid w:val="1AD354CB"/>
    <w:rsid w:val="1B495A57"/>
    <w:rsid w:val="1EB8093E"/>
    <w:rsid w:val="210E5779"/>
    <w:rsid w:val="244D480A"/>
    <w:rsid w:val="253432D4"/>
    <w:rsid w:val="267506A8"/>
    <w:rsid w:val="28B81505"/>
    <w:rsid w:val="2B2B6F28"/>
    <w:rsid w:val="2E514D6A"/>
    <w:rsid w:val="302204C8"/>
    <w:rsid w:val="303F594F"/>
    <w:rsid w:val="30BB2AFC"/>
    <w:rsid w:val="30DA5496"/>
    <w:rsid w:val="35154ED0"/>
    <w:rsid w:val="356E5197"/>
    <w:rsid w:val="377C08B6"/>
    <w:rsid w:val="3A5C0EAC"/>
    <w:rsid w:val="3FF974C4"/>
    <w:rsid w:val="45433394"/>
    <w:rsid w:val="488B0C46"/>
    <w:rsid w:val="492D05E3"/>
    <w:rsid w:val="4A7B0B94"/>
    <w:rsid w:val="4CD97D8B"/>
    <w:rsid w:val="4D322A15"/>
    <w:rsid w:val="5296650F"/>
    <w:rsid w:val="53B316E5"/>
    <w:rsid w:val="543C0AB5"/>
    <w:rsid w:val="545804DE"/>
    <w:rsid w:val="552F3D56"/>
    <w:rsid w:val="56623F96"/>
    <w:rsid w:val="590777C4"/>
    <w:rsid w:val="5E7866EB"/>
    <w:rsid w:val="5F2C3D49"/>
    <w:rsid w:val="5FA75063"/>
    <w:rsid w:val="607E7F71"/>
    <w:rsid w:val="62683FE2"/>
    <w:rsid w:val="62CC4571"/>
    <w:rsid w:val="65D976D1"/>
    <w:rsid w:val="66AF3F8D"/>
    <w:rsid w:val="66B43C9A"/>
    <w:rsid w:val="6AAB057F"/>
    <w:rsid w:val="6C354FE2"/>
    <w:rsid w:val="6CD75FEC"/>
    <w:rsid w:val="6DB225B5"/>
    <w:rsid w:val="701F654F"/>
    <w:rsid w:val="70D65108"/>
    <w:rsid w:val="736C6ADC"/>
    <w:rsid w:val="73F456D6"/>
    <w:rsid w:val="756D573F"/>
    <w:rsid w:val="78AA797A"/>
    <w:rsid w:val="7B2965AD"/>
    <w:rsid w:val="7CCF0A8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unhideWhenUsed/>
    <w:qFormat/>
    <w:uiPriority w:val="99"/>
    <w:pPr>
      <w:tabs>
        <w:tab w:val="center" w:pos="4153"/>
        <w:tab w:val="right" w:pos="8306"/>
      </w:tabs>
      <w:snapToGrid w:val="0"/>
    </w:pPr>
    <w:rPr>
      <w:sz w:val="18"/>
      <w:szCs w:val="18"/>
    </w:rPr>
  </w:style>
  <w:style w:type="paragraph" w:styleId="3">
    <w:name w:val="header"/>
    <w:basedOn w:val="1"/>
    <w:unhideWhenUsed/>
    <w:qFormat/>
    <w:uiPriority w:val="99"/>
    <w:pPr>
      <w:tabs>
        <w:tab w:val="center" w:pos="4153"/>
        <w:tab w:val="right" w:pos="8306"/>
      </w:tabs>
      <w:snapToGrid w:val="0"/>
      <w:spacing w:line="240" w:lineRule="atLeast"/>
      <w:jc w:val="center"/>
    </w:pPr>
    <w:rPr>
      <w:sz w:val="18"/>
      <w:szCs w:val="18"/>
    </w:rPr>
  </w:style>
  <w:style w:type="character" w:styleId="5">
    <w:name w:val="Hyperlink"/>
    <w:basedOn w:val="4"/>
    <w:unhideWhenUsed/>
    <w:qFormat/>
    <w:uiPriority w:val="99"/>
    <w:rPr>
      <w:color w:val="0000FF"/>
      <w:u w:val="single"/>
    </w:rPr>
  </w:style>
  <w:style w:type="paragraph" w:customStyle="1" w:styleId="7">
    <w:name w:val="Heading #2|1"/>
    <w:basedOn w:val="1"/>
    <w:link w:val="10"/>
    <w:qFormat/>
    <w:uiPriority w:val="0"/>
    <w:pPr>
      <w:spacing w:after="540" w:line="576" w:lineRule="exact"/>
      <w:jc w:val="center"/>
      <w:outlineLvl w:val="1"/>
    </w:pPr>
    <w:rPr>
      <w:rFonts w:ascii="宋体" w:hAnsi="宋体" w:eastAsia="宋体" w:cs="宋体"/>
      <w:sz w:val="42"/>
      <w:szCs w:val="42"/>
      <w:lang w:val="zh-TW" w:eastAsia="zh-TW" w:bidi="zh-TW"/>
    </w:rPr>
  </w:style>
  <w:style w:type="paragraph" w:customStyle="1" w:styleId="8">
    <w:name w:val="Body text|2"/>
    <w:basedOn w:val="1"/>
    <w:link w:val="11"/>
    <w:qFormat/>
    <w:uiPriority w:val="0"/>
    <w:pPr>
      <w:spacing w:line="587" w:lineRule="exact"/>
      <w:ind w:firstLine="640"/>
      <w:jc w:val="left"/>
    </w:pPr>
    <w:rPr>
      <w:rFonts w:ascii="宋体" w:hAnsi="宋体" w:eastAsia="宋体" w:cs="宋体"/>
      <w:sz w:val="30"/>
      <w:szCs w:val="30"/>
      <w:lang w:val="zh-TW" w:eastAsia="zh-TW" w:bidi="zh-TW"/>
    </w:rPr>
  </w:style>
  <w:style w:type="paragraph" w:customStyle="1" w:styleId="9">
    <w:name w:val="Body text|4"/>
    <w:basedOn w:val="1"/>
    <w:link w:val="12"/>
    <w:qFormat/>
    <w:uiPriority w:val="0"/>
    <w:pPr>
      <w:spacing w:after="420" w:line="587" w:lineRule="exact"/>
      <w:ind w:firstLine="640"/>
      <w:jc w:val="left"/>
    </w:pPr>
    <w:rPr>
      <w:rFonts w:ascii="宋体" w:hAnsi="宋体" w:eastAsia="宋体" w:cs="宋体"/>
      <w:sz w:val="30"/>
      <w:szCs w:val="30"/>
    </w:rPr>
  </w:style>
  <w:style w:type="character" w:customStyle="1" w:styleId="10">
    <w:name w:val="Heading #2|1_"/>
    <w:basedOn w:val="4"/>
    <w:link w:val="7"/>
    <w:qFormat/>
    <w:uiPriority w:val="0"/>
    <w:rPr>
      <w:rFonts w:ascii="宋体" w:hAnsi="宋体" w:eastAsia="宋体" w:cs="宋体"/>
      <w:sz w:val="42"/>
      <w:szCs w:val="42"/>
      <w:lang w:val="zh-TW" w:eastAsia="zh-TW" w:bidi="zh-TW"/>
    </w:rPr>
  </w:style>
  <w:style w:type="character" w:customStyle="1" w:styleId="11">
    <w:name w:val="Body text|2_"/>
    <w:basedOn w:val="4"/>
    <w:link w:val="8"/>
    <w:qFormat/>
    <w:uiPriority w:val="0"/>
    <w:rPr>
      <w:rFonts w:ascii="宋体" w:hAnsi="宋体" w:eastAsia="宋体" w:cs="宋体"/>
      <w:sz w:val="30"/>
      <w:szCs w:val="30"/>
      <w:lang w:val="zh-TW" w:eastAsia="zh-TW" w:bidi="zh-TW"/>
    </w:rPr>
  </w:style>
  <w:style w:type="character" w:customStyle="1" w:styleId="12">
    <w:name w:val="Body text|4_"/>
    <w:basedOn w:val="4"/>
    <w:link w:val="9"/>
    <w:qFormat/>
    <w:uiPriority w:val="0"/>
    <w:rPr>
      <w:rFonts w:ascii="宋体" w:hAnsi="宋体" w:eastAsia="宋体" w:cs="宋体"/>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880</Words>
  <Characters>5021</Characters>
  <Lines>41</Lines>
  <Paragraphs>11</Paragraphs>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2025-02-05T07:37:00Z</dcterms:created>
  <dc:creator>user</dc:creator>
  <cp:lastModifiedBy>Administrator</cp:lastModifiedBy>
  <cp:lastPrinted>2024-08-20T08:04:00Z</cp:lastPrinted>
  <dcterms:modified xsi:type="dcterms:W3CDTF">2025-06-11T06:57:30Z</dcterms:modified>
  <dc:title>南京老字号建设管理办法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y fmtid="{D5CDD505-2E9C-101B-9397-08002B2CF9AE}" pid="3" name="ICV">
    <vt:lpwstr>E563AB5EE78B4666B1349840FBCE2B39_13</vt:lpwstr>
  </property>
</Properties>
</file>